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3E" w:rsidRPr="009C11F7" w:rsidRDefault="009C11F7" w:rsidP="009C11F7">
      <w:pPr>
        <w:pStyle w:val="Style4"/>
        <w:widowControl/>
        <w:jc w:val="both"/>
        <w:rPr>
          <w:rStyle w:val="FontStyle11"/>
          <w:sz w:val="28"/>
          <w:szCs w:val="28"/>
        </w:rPr>
      </w:pPr>
      <w:r w:rsidRPr="009C11F7">
        <w:rPr>
          <w:rStyle w:val="FontStyle11"/>
          <w:sz w:val="28"/>
          <w:szCs w:val="28"/>
        </w:rPr>
        <w:t>ДУДИНКА</w:t>
      </w:r>
    </w:p>
    <w:p w:rsidR="0055453E" w:rsidRPr="009C11F7" w:rsidRDefault="0055453E" w:rsidP="009C11F7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9C11F7">
        <w:rPr>
          <w:rStyle w:val="FontStyle12"/>
          <w:sz w:val="28"/>
          <w:szCs w:val="28"/>
        </w:rPr>
        <w:t>В течение 2020 года проводилась следующая работа:</w:t>
      </w:r>
    </w:p>
    <w:p w:rsidR="0055453E" w:rsidRPr="009C11F7" w:rsidRDefault="0055453E" w:rsidP="009C11F7">
      <w:pPr>
        <w:pStyle w:val="Style1"/>
        <w:widowControl/>
        <w:jc w:val="both"/>
        <w:rPr>
          <w:rStyle w:val="FontStyle12"/>
          <w:sz w:val="28"/>
          <w:szCs w:val="28"/>
        </w:rPr>
      </w:pPr>
      <w:r w:rsidRPr="009C11F7">
        <w:rPr>
          <w:rStyle w:val="FontStyle12"/>
          <w:sz w:val="28"/>
          <w:szCs w:val="28"/>
        </w:rPr>
        <w:t>- информационная поддержка: в течение года на официальном сайте города Дудинки размещались нормативно-правовые акты Красноярского края и Таймырского Долгано-Ненецкого муниципального района о действующих мерах поддержки субъектов малого и среднего предпринимательства;</w:t>
      </w:r>
    </w:p>
    <w:p w:rsidR="0055453E" w:rsidRPr="009C11F7" w:rsidRDefault="0055453E" w:rsidP="009C11F7">
      <w:pPr>
        <w:pStyle w:val="Style1"/>
        <w:widowControl/>
        <w:jc w:val="both"/>
        <w:rPr>
          <w:rStyle w:val="FontStyle12"/>
          <w:sz w:val="28"/>
          <w:szCs w:val="28"/>
        </w:rPr>
      </w:pPr>
      <w:r w:rsidRPr="009C11F7">
        <w:rPr>
          <w:rStyle w:val="FontStyle12"/>
          <w:sz w:val="28"/>
          <w:szCs w:val="28"/>
        </w:rPr>
        <w:t>- при организации сезонной торговли 90% мест, включенных в схему размещения нестационарных объектов торговли, были предоставлены субъектам малого и среднего предпринимательства при норме 60%.</w:t>
      </w:r>
    </w:p>
    <w:p w:rsidR="0055453E" w:rsidRPr="009C11F7" w:rsidRDefault="0055453E" w:rsidP="009C11F7">
      <w:pPr>
        <w:pStyle w:val="Style1"/>
        <w:widowControl/>
        <w:jc w:val="both"/>
        <w:rPr>
          <w:rStyle w:val="FontStyle12"/>
          <w:sz w:val="28"/>
          <w:szCs w:val="28"/>
        </w:rPr>
      </w:pPr>
      <w:r w:rsidRPr="009C11F7">
        <w:rPr>
          <w:rStyle w:val="FontStyle12"/>
          <w:sz w:val="28"/>
          <w:szCs w:val="28"/>
        </w:rPr>
        <w:t>- выполнялось требование законодательства о размещении заказов у субъектов малого предпринимательства в объеме не менее 15% совокупного годового объема, рассчитанного в соответствии с частью 1.1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Фактический объем таких закупок составил по муниципальному образованию 42 % от совокупного годового объема, что в сумме составило 77,17 млн. рублей.</w:t>
      </w:r>
    </w:p>
    <w:sectPr w:rsidR="0055453E" w:rsidRPr="009C11F7" w:rsidSect="009C11F7">
      <w:pgSz w:w="11909" w:h="16834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53E"/>
    <w:rsid w:val="0013240C"/>
    <w:rsid w:val="0055453E"/>
    <w:rsid w:val="009A2C2C"/>
    <w:rsid w:val="009C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5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5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5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5453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55453E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2021-03-23T05:54:00Z</dcterms:created>
  <dcterms:modified xsi:type="dcterms:W3CDTF">2021-03-23T06:21:00Z</dcterms:modified>
</cp:coreProperties>
</file>