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6" w:rsidRPr="00992679" w:rsidRDefault="00B56825" w:rsidP="00B568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79">
        <w:rPr>
          <w:rFonts w:ascii="Times New Roman" w:hAnsi="Times New Roman" w:cs="Times New Roman"/>
          <w:b/>
          <w:sz w:val="28"/>
          <w:szCs w:val="28"/>
        </w:rPr>
        <w:t>ЮГОРСК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Несмотря на тенденцию снижения рождаемости, в Югорске, обусловленную демографическим п</w:t>
      </w:r>
      <w:r w:rsidR="00213353" w:rsidRPr="00B56825">
        <w:rPr>
          <w:rFonts w:ascii="Times New Roman" w:hAnsi="Times New Roman" w:cs="Times New Roman"/>
          <w:sz w:val="28"/>
          <w:szCs w:val="28"/>
        </w:rPr>
        <w:t>р</w:t>
      </w:r>
      <w:r w:rsidRPr="00B56825">
        <w:rPr>
          <w:rFonts w:ascii="Times New Roman" w:hAnsi="Times New Roman" w:cs="Times New Roman"/>
          <w:sz w:val="28"/>
          <w:szCs w:val="28"/>
        </w:rPr>
        <w:t>овалом 90-х годов, сохраняется положительная динамика естественного прироста. Уровень рождаемости в городе превышает уровень смертности в 1,6 раз.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Сегодня Югорск - это уже 38 100 жителей! Из них 24 500 это трудовой потенциал города (женщины 16 - 59 лет, мужчины 16 - 64 лет), 13 700 человек работают в организациях города и занимаются предпринимательской деятельностью.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Структура занятых в экономике в 2020 году не претерпела значительных изменений, так как наши крупные предприятия не останавливали работу весь период пандемии, при этом активно использовался новый формат – удаленная работа сотрудников с целью сохранения здоровья.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Денежные доходы населения в расчете на 1 жителя сложились на уровне 51950 рублей. Среднемесячная заработная плата работников крупных и средних предприят</w:t>
      </w:r>
      <w:r w:rsidR="00541D26" w:rsidRPr="00B56825">
        <w:rPr>
          <w:rFonts w:ascii="Times New Roman" w:hAnsi="Times New Roman" w:cs="Times New Roman"/>
          <w:sz w:val="28"/>
          <w:szCs w:val="28"/>
        </w:rPr>
        <w:t xml:space="preserve">ий по предварительным данным - </w:t>
      </w:r>
      <w:r w:rsidRPr="00B56825">
        <w:rPr>
          <w:rFonts w:ascii="Times New Roman" w:hAnsi="Times New Roman" w:cs="Times New Roman"/>
          <w:sz w:val="28"/>
          <w:szCs w:val="28"/>
        </w:rPr>
        <w:t>97 700 рублей, а заработная плата работников бюджетной сферы составила 51900 рублей в месяц.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Объем промышленного производства за 2020 год прогнозируется близко к уровню 2019 года, что по оценке составляет 1,2 </w:t>
      </w:r>
      <w:proofErr w:type="gramStart"/>
      <w:r w:rsidRPr="00B5682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56825">
        <w:rPr>
          <w:rFonts w:ascii="Times New Roman" w:hAnsi="Times New Roman" w:cs="Times New Roman"/>
          <w:sz w:val="28"/>
          <w:szCs w:val="28"/>
        </w:rPr>
        <w:t xml:space="preserve"> рублей. Объем продукции сельского хозяйства - 422,1 млн. рублей. В сложных условиях 2020 года отмечен самый высокий результат за последние пять лет по объему инвестиций в основной капитал - 2,3 млрд. рублей.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Кроме того, весомый вклад в экономику города вносят субъекты малого и среднего предпринимательства - это продукция деревообработки, пищевая продукция, металлоконструкции, сфера услуг.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Мы ценим потенциал наших представителей малого предпринимательства и их вклад в развитие города. В прошедшем году поддержка государства была крайне важна для предпринимателей, совместными усилиями с помощью поддержки на всех уровнях власти удалось сохранить большинство рабочих мест действующих предпринимателей. Сегодня в реестре предпринимателей 1235 субъектов. Ряды их пополнили ответственные граждане города, которые зарегистрировались в качестве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(442 человека).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Финансовой поддержкой федерального, регионального и муниципального уровней воспользовались 420 субъектов предпринимательства на общую сумму почти 50,0 млн. рублей.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Из них, в рамках муниципальной программы</w:t>
      </w:r>
      <w:r w:rsidR="00541D26" w:rsidRPr="00B56825">
        <w:rPr>
          <w:rFonts w:ascii="Times New Roman" w:hAnsi="Times New Roman" w:cs="Times New Roman"/>
          <w:sz w:val="28"/>
          <w:szCs w:val="28"/>
        </w:rPr>
        <w:t>,</w:t>
      </w:r>
      <w:r w:rsidRPr="00B56825">
        <w:rPr>
          <w:rFonts w:ascii="Times New Roman" w:hAnsi="Times New Roman" w:cs="Times New Roman"/>
          <w:sz w:val="28"/>
          <w:szCs w:val="28"/>
        </w:rPr>
        <w:t xml:space="preserve"> 157 субъектам предпринимательства оказана поддержка на сумму 12,0 млн. рублей.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Помимо финансовой поддержки, были приняты такие важные управленческие решения как снижение ставки по налогу на имущество физических лиц, используемого в коммерческой деятельности и отсрочка (в ряде случаев и освобождение) по арендной плате за муниципальное имущество.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Такой объем преференций и финансовой помощи был оказан впервые!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2020 году все принятые расходные обязательства бюджета были выполнены в полном объеме.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бюджет города поступило доходов </w:t>
      </w:r>
      <w:r w:rsidR="00421C82" w:rsidRPr="00B568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56825">
        <w:rPr>
          <w:rFonts w:ascii="Times New Roman" w:hAnsi="Times New Roman" w:cs="Times New Roman"/>
          <w:sz w:val="28"/>
          <w:szCs w:val="28"/>
        </w:rPr>
        <w:t xml:space="preserve">4 252,9 млн. рублей, что на 13,7% больше чем в 2019 году. 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Расходная часть бюджета города Югорска исполнена в сумме 4 201,1 млн. рублей.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Мы ежегодно принимаем меры по сокращению муниципального долга. За последние три года долг сокращен на 98 млн. рублей, из них 49 млн. в 2020 году, и долговая нагрузка муниципалитета на 1 января 2021 года составила 172,0 млн. рублей (в пределах допустимых значений).</w:t>
      </w:r>
    </w:p>
    <w:p w:rsidR="00876DB3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876DB3" w:rsidRPr="00B56825">
        <w:rPr>
          <w:rFonts w:ascii="Times New Roman" w:hAnsi="Times New Roman" w:cs="Times New Roman"/>
          <w:sz w:val="28"/>
          <w:szCs w:val="28"/>
        </w:rPr>
        <w:t xml:space="preserve"> города Югорска «программный» - 99,5% расходов сформировано на основе 17 муниципальных программ города Югорска, 6 из них содержат мероприятия по участию в 9-ти региональных проектах, направленных на достижение целей 5-ти национальных проектов, на реализацию которых направлено 560,7 млн. рублей. 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Основной приоритет расходов бюджета в 2020 году - решение задач и достижение стратегических целей, обозначенных Президентом Российской Федерации, а также реализация мер повышения эффективности бюджетных расходов.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Расходы на социальную сферу традиционно являются приоритетными и  64,2% от общего объема расходов бюджета или 2 698,8 млн. рублей направлено на социальную сферу. </w:t>
      </w:r>
    </w:p>
    <w:p w:rsidR="00876DB3" w:rsidRPr="00B56825" w:rsidRDefault="00876DB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городе высокая обеспеченность социальными объектами, необходимыми для полноценной жизни горожан – это детские сады и школы, больницы, спортивные залы, организации культуры и многое другое.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Система образования представлена всеми уровнями образования. Углубленное изучение предметов совместно с социальными партнерами реализуется в специализированных класса</w:t>
      </w:r>
      <w:proofErr w:type="gramStart"/>
      <w:r w:rsidRPr="00B5682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56825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газпром-классы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>, медицинские, кадетские классы, что обеспечивает право выбора доступных качественных образовательных услуг.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Дошкольное образование получают 2576 детей, из них 60 детей посещают частные детские сады.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сентябре 2020 года для 344 детей распахнул двери новый, современный, комфортный  детский сад.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городе решена проблема обеспеченности местами в детских садах детей в возрасте от 3 до 7 лет, с 1 сентября 2020 года обеспечены местами и все дети возрастом до 3-х лет, желающие пойти в 2020 году в детский сад.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общеобразовательных школах обучаются 5543 ребенка, 127 из них в негосударственном учреждении (Православная гимназия).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2020 год стал для системы образования города определенным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рубиконом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в использовании образовательных цифровых технологий. Для организации учебного процесса в условиях пандемии и </w:t>
      </w:r>
      <w:proofErr w:type="gramStart"/>
      <w:r w:rsidRPr="00B5682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56825">
        <w:rPr>
          <w:rFonts w:ascii="Times New Roman" w:hAnsi="Times New Roman" w:cs="Times New Roman"/>
          <w:sz w:val="28"/>
          <w:szCs w:val="28"/>
        </w:rPr>
        <w:t xml:space="preserve"> ограничительных мер потребовались новые механизмы и инновационные решения. Благодаря высокой профессиональной мобильности наших педагогов, образовательный проце</w:t>
      </w:r>
      <w:proofErr w:type="gramStart"/>
      <w:r w:rsidRPr="00B56825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B56825">
        <w:rPr>
          <w:rFonts w:ascii="Times New Roman" w:hAnsi="Times New Roman" w:cs="Times New Roman"/>
          <w:sz w:val="28"/>
          <w:szCs w:val="28"/>
        </w:rPr>
        <w:t>оле не прервался, было организовано удалённое обучение всех школьников.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2020 году в Югорске появился центр образования цифрового и гуманитарного профилей </w:t>
      </w:r>
      <w:r w:rsidR="00541D26" w:rsidRPr="00B56825">
        <w:rPr>
          <w:rFonts w:ascii="Times New Roman" w:hAnsi="Times New Roman" w:cs="Times New Roman"/>
          <w:sz w:val="28"/>
          <w:szCs w:val="28"/>
        </w:rPr>
        <w:t>«</w:t>
      </w:r>
      <w:r w:rsidRPr="00B56825">
        <w:rPr>
          <w:rFonts w:ascii="Times New Roman" w:hAnsi="Times New Roman" w:cs="Times New Roman"/>
          <w:sz w:val="28"/>
          <w:szCs w:val="28"/>
        </w:rPr>
        <w:t>Точка роста</w:t>
      </w:r>
      <w:r w:rsidR="00541D26" w:rsidRPr="00B56825">
        <w:rPr>
          <w:rFonts w:ascii="Times New Roman" w:hAnsi="Times New Roman" w:cs="Times New Roman"/>
          <w:sz w:val="28"/>
          <w:szCs w:val="28"/>
        </w:rPr>
        <w:t>»</w:t>
      </w:r>
      <w:r w:rsidRPr="00B56825">
        <w:rPr>
          <w:rFonts w:ascii="Times New Roman" w:hAnsi="Times New Roman" w:cs="Times New Roman"/>
          <w:sz w:val="28"/>
          <w:szCs w:val="28"/>
        </w:rPr>
        <w:t xml:space="preserve">. Это результат реализации национального проекта </w:t>
      </w:r>
      <w:r w:rsidR="00541D26" w:rsidRPr="00B56825">
        <w:rPr>
          <w:rFonts w:ascii="Times New Roman" w:hAnsi="Times New Roman" w:cs="Times New Roman"/>
          <w:sz w:val="28"/>
          <w:szCs w:val="28"/>
        </w:rPr>
        <w:t>«</w:t>
      </w:r>
      <w:r w:rsidRPr="00B56825">
        <w:rPr>
          <w:rFonts w:ascii="Times New Roman" w:hAnsi="Times New Roman" w:cs="Times New Roman"/>
          <w:sz w:val="28"/>
          <w:szCs w:val="28"/>
        </w:rPr>
        <w:t>Образование</w:t>
      </w:r>
      <w:r w:rsidR="00541D26" w:rsidRPr="00B56825">
        <w:rPr>
          <w:rFonts w:ascii="Times New Roman" w:hAnsi="Times New Roman" w:cs="Times New Roman"/>
          <w:sz w:val="28"/>
          <w:szCs w:val="28"/>
        </w:rPr>
        <w:t>»</w:t>
      </w:r>
      <w:r w:rsidRPr="00B56825">
        <w:rPr>
          <w:rFonts w:ascii="Times New Roman" w:hAnsi="Times New Roman" w:cs="Times New Roman"/>
          <w:sz w:val="28"/>
          <w:szCs w:val="28"/>
        </w:rPr>
        <w:t xml:space="preserve"> и это только первый шаг: до 2024 года подобных центров в городе станет 4. </w:t>
      </w:r>
      <w:r w:rsidR="00541D26" w:rsidRPr="00B56825">
        <w:rPr>
          <w:rFonts w:ascii="Times New Roman" w:hAnsi="Times New Roman" w:cs="Times New Roman"/>
          <w:sz w:val="28"/>
          <w:szCs w:val="28"/>
        </w:rPr>
        <w:t>«</w:t>
      </w:r>
      <w:r w:rsidRPr="00B56825">
        <w:rPr>
          <w:rFonts w:ascii="Times New Roman" w:hAnsi="Times New Roman" w:cs="Times New Roman"/>
          <w:sz w:val="28"/>
          <w:szCs w:val="28"/>
        </w:rPr>
        <w:t>Точка роста</w:t>
      </w:r>
      <w:r w:rsidR="00541D26" w:rsidRPr="00B56825">
        <w:rPr>
          <w:rFonts w:ascii="Times New Roman" w:hAnsi="Times New Roman" w:cs="Times New Roman"/>
          <w:sz w:val="28"/>
          <w:szCs w:val="28"/>
        </w:rPr>
        <w:t>»</w:t>
      </w:r>
      <w:r w:rsidRPr="00B56825">
        <w:rPr>
          <w:rFonts w:ascii="Times New Roman" w:hAnsi="Times New Roman" w:cs="Times New Roman"/>
          <w:sz w:val="28"/>
          <w:szCs w:val="28"/>
        </w:rPr>
        <w:t xml:space="preserve"> - центр не только для детей, но и для их родителей. Здесь будет дан новый толчок развития цифры, развития самореализации человека. В 2020 году образовательными программами центра уже охвачено 1368 детей.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Увеличен охват детей дополнительным образованием – 5880 детей (или почти 81% от числа детей 5 – 18 лет) получают дополнительные знания и приобретают новые навыки. Процесс обучения осуществляется не только в муниципальных учреждениях, 486 детей получили услуги дополнительного образования у негосударственных поставщиков. (6 предпринимателей).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 каждым годом численность жителей Югорска систематически занимающихся физической культурой и спортом растет. Сегодня их уже 19 246 человек это 51,0% от общей численности населения. Созданы условия для людей с ограниченны</w:t>
      </w:r>
      <w:r w:rsidR="00541D26" w:rsidRPr="00B56825">
        <w:rPr>
          <w:rFonts w:ascii="Times New Roman" w:hAnsi="Times New Roman" w:cs="Times New Roman"/>
          <w:sz w:val="28"/>
          <w:szCs w:val="28"/>
        </w:rPr>
        <w:t>ми возможностями - 599 человек</w:t>
      </w:r>
      <w:r w:rsidRPr="00B56825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Югорске имеется 110 спортивных сооружений, развивается 42 вида спорта. Югорск </w:t>
      </w:r>
      <w:r w:rsidRPr="00B56825">
        <w:rPr>
          <w:rFonts w:ascii="Times New Roman" w:hAnsi="Times New Roman" w:cs="Times New Roman"/>
          <w:sz w:val="28"/>
          <w:szCs w:val="28"/>
        </w:rPr>
        <w:lastRenderedPageBreak/>
        <w:t>является одним из лидеров среди муниципальных образований Югры по формированию системы подготовки спортивного резерва для сборных команд автономного округа.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большей мере ограничения и запреты в период пандемии коснулись сферы «Культура», но эффективная организация работы муниципальных учреждений культуры позволила оперативно «перестроиться» на новый формат работы и режиме удаленного доступа привлечь жителей города к участию в культурно-массовых мероприятиях.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Особо следует отметить активность некоммерческих организаций и муниципальных учреждений сферы культуры в участии в конкурсах на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поддержку. На реализацию 11 проектов в сфере культуры привлечено более 7,5 млн. рублей - это гранты Президента Российской Федерации, Губернатора Югры, субсидии из бюджета автономного округа, внебюджетных фондов.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А в целом, с учетом других сфер деятельности, некоммерческими организациями Югорска было привлечено более 14,5 млн. рублей в</w:t>
      </w:r>
      <w:r w:rsidR="00541D26" w:rsidRPr="00B56825">
        <w:rPr>
          <w:rFonts w:ascii="Times New Roman" w:hAnsi="Times New Roman" w:cs="Times New Roman"/>
          <w:sz w:val="28"/>
          <w:szCs w:val="28"/>
        </w:rPr>
        <w:t xml:space="preserve"> </w:t>
      </w:r>
      <w:r w:rsidRPr="00B56825">
        <w:rPr>
          <w:rFonts w:ascii="Times New Roman" w:hAnsi="Times New Roman" w:cs="Times New Roman"/>
          <w:sz w:val="28"/>
          <w:szCs w:val="28"/>
        </w:rPr>
        <w:t>виде различных гран</w:t>
      </w:r>
      <w:r w:rsidR="00541D26" w:rsidRPr="00B56825">
        <w:rPr>
          <w:rFonts w:ascii="Times New Roman" w:hAnsi="Times New Roman" w:cs="Times New Roman"/>
          <w:sz w:val="28"/>
          <w:szCs w:val="28"/>
        </w:rPr>
        <w:t xml:space="preserve">тов на реализацию 20 проектов, </w:t>
      </w:r>
      <w:r w:rsidRPr="00B56825">
        <w:rPr>
          <w:rFonts w:ascii="Times New Roman" w:hAnsi="Times New Roman" w:cs="Times New Roman"/>
          <w:sz w:val="28"/>
          <w:szCs w:val="28"/>
        </w:rPr>
        <w:t>направленных на конкретного человека</w:t>
      </w:r>
      <w:r w:rsidR="00541D26" w:rsidRPr="00B56825">
        <w:rPr>
          <w:rFonts w:ascii="Times New Roman" w:hAnsi="Times New Roman" w:cs="Times New Roman"/>
          <w:sz w:val="28"/>
          <w:szCs w:val="28"/>
        </w:rPr>
        <w:t xml:space="preserve"> </w:t>
      </w:r>
      <w:r w:rsidRPr="00B56825">
        <w:rPr>
          <w:rFonts w:ascii="Times New Roman" w:hAnsi="Times New Roman" w:cs="Times New Roman"/>
          <w:sz w:val="28"/>
          <w:szCs w:val="28"/>
        </w:rPr>
        <w:t xml:space="preserve">– это патриотическое воспитание, сохранение национальных традиций, забота о людях с ограниченными возможностями, развитие гражданского сообщества. 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сентябре 2020 года открылась первая модельная библиотека Югорска - это результат участия города в национальном проекте «Культура», путем конкурсного отбора получено 10,0 млн. рублей из федерального бюджета и в Югорске появилось обновленное, комфортное пространство - читальный зал будущего, полноценный информационно-образовательный центр с доступом к самым современным технологиям.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городе созданы благоприятные условия для реализации культурного, творческого потенциала его жителей, а также взаимовыгодного сотрудничества муниципальных, частных и ведомственных организаций культуры.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Самым масштабным проектом, в ближайшем будущем будет реконструкция Детской школы искусств.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Формирование комфортного пространства для проживания во многом зависит от результатов работы администрации города в таких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сферах деятельности, как жилищное строительство, благоустройство, ремонт и содержание дорог, жилищно-коммунальное хозяйство.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При поддержке Правительства Югры, посредством участия в государственных программах и региональных проектах город получает значимые социальные объекты и объекты коммунальной инфраструктуры.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В 2020 году в Югорске введено 31770 кв. метров жилья – это 6 многоквартирных домов и 147 домов ИЖС. </w:t>
      </w:r>
    </w:p>
    <w:p w:rsidR="00213353" w:rsidRPr="00B56825" w:rsidRDefault="00213353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При этом основными проблемами остаются дороги, благоустройство прилегающих территорий и тротуары.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Наличие жилья на рынке позволяет улучшать жилищные условия особенно нуждающимся жителям нашего города: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 - приобретено 114 квартир для переселения граждан;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- новоселье справили 105 семей.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За 5 предыдущих лет в Югорске снесено 97 ветхих жилых дома или 37,9 тыс. кв.м. жилья, и в то же время построено 118,7 тыс. кв.м. жилья. Именно такое соотношение позволяет сохранить показатель обеспеченности жильем в расчете на одного жителя на высоком уровне 28,7 кв. м. - больше, чем в среднем по округу (21,5).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- сложная,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высокозатратная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жизненноважная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сфера деятельности администрации, основная задача - повышение </w:t>
      </w:r>
      <w:proofErr w:type="spellStart"/>
      <w:r w:rsidRPr="00B5682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56825"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систем жизнеобеспечения, поддержание системы </w:t>
      </w:r>
      <w:r w:rsidRPr="00B56825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обеспечения в работоспособном состоянии, развитие и модернизация городского коммунального хозяйства. 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20 организаций города оказывают жилищно-коммунальные услуги, 5 из них - коммунальные услуги (в том числе муниципальное унитарное предприятие).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На сегодняшний день объекты жизнеобеспечения работают в режиме стабильного функционирования.</w:t>
      </w:r>
    </w:p>
    <w:p w:rsidR="00421C82" w:rsidRPr="00B56825" w:rsidRDefault="00421C82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 xml:space="preserve">83 модульные </w:t>
      </w:r>
      <w:proofErr w:type="gramStart"/>
      <w:r w:rsidRPr="00B56825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B56825">
        <w:rPr>
          <w:rFonts w:ascii="Times New Roman" w:hAnsi="Times New Roman" w:cs="Times New Roman"/>
          <w:sz w:val="28"/>
          <w:szCs w:val="28"/>
        </w:rPr>
        <w:t xml:space="preserve"> обустроенные в 2019 году, прошли проверку на  стойкость к погодным условиям, к готовности жителей принять новые условия. Администрация города оперативно реагирует на запросы граждан, связанные с вывозом мусора и содержанием контейнерных площадок ТКО, с целью контроля на трех «проблемных» площадках установлены камеры видеонаблюдения.</w:t>
      </w:r>
    </w:p>
    <w:p w:rsidR="00421C82" w:rsidRPr="00B56825" w:rsidRDefault="00C467CB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Сложный</w:t>
      </w:r>
      <w:r w:rsidR="00421C82" w:rsidRPr="00B56825">
        <w:rPr>
          <w:rFonts w:ascii="Times New Roman" w:hAnsi="Times New Roman" w:cs="Times New Roman"/>
          <w:sz w:val="28"/>
          <w:szCs w:val="28"/>
        </w:rPr>
        <w:t xml:space="preserve"> 2020 год при всех отрицательных моментах, отразившихся на жизни города, имеет очень важный положительный факт - информационная открытос</w:t>
      </w:r>
      <w:r w:rsidRPr="00B56825">
        <w:rPr>
          <w:rFonts w:ascii="Times New Roman" w:hAnsi="Times New Roman" w:cs="Times New Roman"/>
          <w:sz w:val="28"/>
          <w:szCs w:val="28"/>
        </w:rPr>
        <w:t>т</w:t>
      </w:r>
      <w:r w:rsidR="00421C82" w:rsidRPr="00B56825">
        <w:rPr>
          <w:rFonts w:ascii="Times New Roman" w:hAnsi="Times New Roman" w:cs="Times New Roman"/>
          <w:sz w:val="28"/>
          <w:szCs w:val="28"/>
        </w:rPr>
        <w:t>ь. Как никогда в прежние годы, власть стала ближе к населению, к простым людям, к их проблемам.</w:t>
      </w:r>
    </w:p>
    <w:p w:rsidR="00541D26" w:rsidRPr="00B56825" w:rsidRDefault="00541D26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Прямой диалог - помогает понять настроение граждан, быть в курсе не только официальных событий, но и нужд и чаяний людей.</w:t>
      </w:r>
    </w:p>
    <w:p w:rsidR="00421C82" w:rsidRPr="00B56825" w:rsidRDefault="00541D26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825">
        <w:rPr>
          <w:rFonts w:ascii="Times New Roman" w:hAnsi="Times New Roman" w:cs="Times New Roman"/>
          <w:sz w:val="28"/>
          <w:szCs w:val="28"/>
        </w:rPr>
        <w:t>В прош</w:t>
      </w:r>
      <w:r w:rsidR="00C467CB" w:rsidRPr="00B56825">
        <w:rPr>
          <w:rFonts w:ascii="Times New Roman" w:hAnsi="Times New Roman" w:cs="Times New Roman"/>
          <w:sz w:val="28"/>
          <w:szCs w:val="28"/>
        </w:rPr>
        <w:t>лом году</w:t>
      </w:r>
      <w:r w:rsidRPr="00B56825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C467CB" w:rsidRPr="00B56825">
        <w:rPr>
          <w:rFonts w:ascii="Times New Roman" w:hAnsi="Times New Roman" w:cs="Times New Roman"/>
          <w:sz w:val="28"/>
          <w:szCs w:val="28"/>
        </w:rPr>
        <w:t>ен</w:t>
      </w:r>
      <w:r w:rsidRPr="00B56825">
        <w:rPr>
          <w:rFonts w:ascii="Times New Roman" w:hAnsi="Times New Roman" w:cs="Times New Roman"/>
          <w:sz w:val="28"/>
          <w:szCs w:val="28"/>
        </w:rPr>
        <w:t xml:space="preserve"> очень эффективный механизм - «Парламентский час» - это тоже своего рода прямой диалог, т.к. именно на этих встречах обсуждаются конкретные ак</w:t>
      </w:r>
      <w:r w:rsidR="00C467CB" w:rsidRPr="00B56825">
        <w:rPr>
          <w:rFonts w:ascii="Times New Roman" w:hAnsi="Times New Roman" w:cs="Times New Roman"/>
          <w:sz w:val="28"/>
          <w:szCs w:val="28"/>
        </w:rPr>
        <w:t>т</w:t>
      </w:r>
      <w:r w:rsidRPr="00B56825">
        <w:rPr>
          <w:rFonts w:ascii="Times New Roman" w:hAnsi="Times New Roman" w:cs="Times New Roman"/>
          <w:sz w:val="28"/>
          <w:szCs w:val="28"/>
        </w:rPr>
        <w:t>уальные вопросы, поступающие от жителей города депутатам Думы города Югорска, обсуждаются самые насущные, «узкие» проблемы, даются соответствующие поручения по их решению администрации города.</w:t>
      </w:r>
    </w:p>
    <w:p w:rsidR="00541D26" w:rsidRPr="00B56825" w:rsidRDefault="00541D26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25">
        <w:rPr>
          <w:rFonts w:ascii="Times New Roman" w:hAnsi="Times New Roman" w:cs="Times New Roman"/>
          <w:sz w:val="28"/>
          <w:szCs w:val="28"/>
        </w:rPr>
        <w:t>В 2021 году предстоит наверстать то, что еще не удалось сделать, планов очень много: это и проблема с бродячими собаками, и увеличение объёмов ремонта дорог, и начало реализации проекта «Парк на улице Менделеева», и, конечно, реализация инициативы жителей 16А микрорайона по обеспечению района жилой застройки сетями водоснабжения и благоустройству прилегающих территорий.</w:t>
      </w:r>
      <w:proofErr w:type="gramEnd"/>
    </w:p>
    <w:p w:rsidR="00541D26" w:rsidRPr="00B56825" w:rsidRDefault="00541D26" w:rsidP="00B56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1D26" w:rsidRPr="00B56825" w:rsidSect="00B56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5C"/>
    <w:rsid w:val="00087EEE"/>
    <w:rsid w:val="00090248"/>
    <w:rsid w:val="00091237"/>
    <w:rsid w:val="000A02AD"/>
    <w:rsid w:val="000D66C5"/>
    <w:rsid w:val="000E336A"/>
    <w:rsid w:val="00107D7C"/>
    <w:rsid w:val="00122153"/>
    <w:rsid w:val="001437CA"/>
    <w:rsid w:val="00150595"/>
    <w:rsid w:val="00153762"/>
    <w:rsid w:val="001553DE"/>
    <w:rsid w:val="00170070"/>
    <w:rsid w:val="00187A01"/>
    <w:rsid w:val="001A211D"/>
    <w:rsid w:val="001C63FD"/>
    <w:rsid w:val="001D01ED"/>
    <w:rsid w:val="001D21C7"/>
    <w:rsid w:val="001D62D6"/>
    <w:rsid w:val="00213353"/>
    <w:rsid w:val="00232E45"/>
    <w:rsid w:val="00243F9E"/>
    <w:rsid w:val="00262F52"/>
    <w:rsid w:val="00270E62"/>
    <w:rsid w:val="002860E2"/>
    <w:rsid w:val="00287EBD"/>
    <w:rsid w:val="002921AB"/>
    <w:rsid w:val="002F3155"/>
    <w:rsid w:val="00322BF5"/>
    <w:rsid w:val="00353CB6"/>
    <w:rsid w:val="00384726"/>
    <w:rsid w:val="003C2D7A"/>
    <w:rsid w:val="003E69C7"/>
    <w:rsid w:val="00421C82"/>
    <w:rsid w:val="004270A1"/>
    <w:rsid w:val="00447F2D"/>
    <w:rsid w:val="0046519B"/>
    <w:rsid w:val="004854C7"/>
    <w:rsid w:val="004D371E"/>
    <w:rsid w:val="004F0335"/>
    <w:rsid w:val="005035BD"/>
    <w:rsid w:val="00536DA3"/>
    <w:rsid w:val="00541D26"/>
    <w:rsid w:val="00550BD2"/>
    <w:rsid w:val="005513C1"/>
    <w:rsid w:val="00557779"/>
    <w:rsid w:val="005923C4"/>
    <w:rsid w:val="005C3AFC"/>
    <w:rsid w:val="00616637"/>
    <w:rsid w:val="0066147B"/>
    <w:rsid w:val="006972A5"/>
    <w:rsid w:val="006D284F"/>
    <w:rsid w:val="006F541A"/>
    <w:rsid w:val="0072716A"/>
    <w:rsid w:val="00742D73"/>
    <w:rsid w:val="00743529"/>
    <w:rsid w:val="00745345"/>
    <w:rsid w:val="00753E0D"/>
    <w:rsid w:val="0076672D"/>
    <w:rsid w:val="0076696F"/>
    <w:rsid w:val="007D713D"/>
    <w:rsid w:val="007E3D96"/>
    <w:rsid w:val="007E58C8"/>
    <w:rsid w:val="007E691E"/>
    <w:rsid w:val="00841813"/>
    <w:rsid w:val="00876DB3"/>
    <w:rsid w:val="0088229A"/>
    <w:rsid w:val="008B50E2"/>
    <w:rsid w:val="008C1928"/>
    <w:rsid w:val="008D4A20"/>
    <w:rsid w:val="008E5C81"/>
    <w:rsid w:val="00901C33"/>
    <w:rsid w:val="009358C5"/>
    <w:rsid w:val="00955172"/>
    <w:rsid w:val="00992679"/>
    <w:rsid w:val="009A60CD"/>
    <w:rsid w:val="009B0D36"/>
    <w:rsid w:val="009C7C3E"/>
    <w:rsid w:val="009E2A84"/>
    <w:rsid w:val="009E56E0"/>
    <w:rsid w:val="00A32239"/>
    <w:rsid w:val="00A737D3"/>
    <w:rsid w:val="00A928E0"/>
    <w:rsid w:val="00AB107C"/>
    <w:rsid w:val="00AC4476"/>
    <w:rsid w:val="00AF58B2"/>
    <w:rsid w:val="00B3273E"/>
    <w:rsid w:val="00B56825"/>
    <w:rsid w:val="00BD1B01"/>
    <w:rsid w:val="00BF535F"/>
    <w:rsid w:val="00BF7EFD"/>
    <w:rsid w:val="00C02FAE"/>
    <w:rsid w:val="00C05BD0"/>
    <w:rsid w:val="00C32C1D"/>
    <w:rsid w:val="00C32EE0"/>
    <w:rsid w:val="00C467CB"/>
    <w:rsid w:val="00CA25BA"/>
    <w:rsid w:val="00CB542F"/>
    <w:rsid w:val="00CF69AF"/>
    <w:rsid w:val="00D11499"/>
    <w:rsid w:val="00D13426"/>
    <w:rsid w:val="00D30879"/>
    <w:rsid w:val="00D30966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1525A"/>
    <w:rsid w:val="00E234D4"/>
    <w:rsid w:val="00E254C2"/>
    <w:rsid w:val="00E36B78"/>
    <w:rsid w:val="00E41B91"/>
    <w:rsid w:val="00E84CCE"/>
    <w:rsid w:val="00E87B08"/>
    <w:rsid w:val="00EA37C8"/>
    <w:rsid w:val="00EA5F5C"/>
    <w:rsid w:val="00EE71B1"/>
    <w:rsid w:val="00F00E42"/>
    <w:rsid w:val="00F01A2E"/>
    <w:rsid w:val="00F32A6D"/>
    <w:rsid w:val="00F460D2"/>
    <w:rsid w:val="00F73050"/>
    <w:rsid w:val="00F807FC"/>
    <w:rsid w:val="00FA7BDF"/>
    <w:rsid w:val="00FB4A3E"/>
    <w:rsid w:val="00FB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Сахиуллина Рафина Курбангалеевна</dc:creator>
  <cp:lastModifiedBy>user</cp:lastModifiedBy>
  <cp:revision>34</cp:revision>
  <cp:lastPrinted>2021-02-19T05:38:00Z</cp:lastPrinted>
  <dcterms:created xsi:type="dcterms:W3CDTF">2019-09-23T07:04:00Z</dcterms:created>
  <dcterms:modified xsi:type="dcterms:W3CDTF">2021-03-15T05:55:00Z</dcterms:modified>
</cp:coreProperties>
</file>