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widowControl/>
        <w:bidi w:val="0"/>
        <w:spacing w:lineRule="auto" w:line="240"/>
        <w:ind w:left="0" w:right="0" w:firstLine="567"/>
        <w:jc w:val="both"/>
        <w:rPr>
          <w:rStyle w:val="FontStyle11"/>
          <w:spacing w:val="0"/>
          <w:sz w:val="28"/>
          <w:szCs w:val="28"/>
        </w:rPr>
      </w:pPr>
      <w:r>
        <w:rPr>
          <w:rStyle w:val="FontStyle11"/>
          <w:spacing w:val="0"/>
          <w:sz w:val="28"/>
          <w:szCs w:val="28"/>
        </w:rPr>
        <w:t>САЛЕХАРД</w:t>
      </w:r>
    </w:p>
    <w:p>
      <w:pPr>
        <w:pStyle w:val="Style31"/>
        <w:widowControl/>
        <w:bidi w:val="0"/>
        <w:spacing w:lineRule="auto" w:line="240"/>
        <w:ind w:left="0" w:right="0" w:firstLine="567"/>
        <w:jc w:val="both"/>
        <w:rPr>
          <w:rStyle w:val="FontStyle14"/>
          <w:i w:val="false"/>
          <w:i w:val="false"/>
          <w:spacing w:val="0"/>
          <w:sz w:val="28"/>
          <w:szCs w:val="28"/>
        </w:rPr>
      </w:pPr>
      <w:r>
        <w:rPr>
          <w:rStyle w:val="FontStyle14"/>
          <w:i w:val="false"/>
          <w:spacing w:val="0"/>
          <w:sz w:val="28"/>
          <w:szCs w:val="28"/>
        </w:rPr>
        <w:t>Что наиболее значительное удалось сделать в 2020 году.</w:t>
      </w:r>
    </w:p>
    <w:p>
      <w:pPr>
        <w:pStyle w:val="Normal"/>
        <w:widowControl/>
        <w:bidi w:val="0"/>
        <w:spacing w:lineRule="auto" w:line="240" w:before="0" w:after="0"/>
        <w:ind w:left="0" w:right="0"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FFFFFF" w:val="clear"/>
          <w:lang w:eastAsia="ru-RU"/>
        </w:rPr>
        <w:t xml:space="preserve">Работа с молодёжью на территории города Салехарда ведется в соответствии с Федеральным законом «Об общих принципах организации местного самоуправления в РФ» (от 06.10.2003 №131-ФЗ) и Устава муниципального образования город Салехарда. </w:t>
      </w:r>
    </w:p>
    <w:p>
      <w:pPr>
        <w:pStyle w:val="Normal"/>
        <w:widowControl/>
        <w:bidi w:val="0"/>
        <w:spacing w:lineRule="auto" w:line="240" w:before="0" w:after="0"/>
        <w:ind w:left="0" w:right="0"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FFFFFF" w:val="clear"/>
          <w:lang w:eastAsia="ru-RU"/>
        </w:rPr>
        <w:t>Молодёжь Салехарда, представляющая четверть населения города имеет значительную силу, которой по плечу самые сложные и трудные задачи.</w:t>
      </w:r>
    </w:p>
    <w:p>
      <w:pPr>
        <w:pStyle w:val="Normal"/>
        <w:widowControl/>
        <w:bidi w:val="0"/>
        <w:spacing w:lineRule="auto" w:line="240" w:before="0" w:after="0"/>
        <w:ind w:left="0" w:right="0" w:firstLine="567"/>
        <w:jc w:val="both"/>
        <w:rPr/>
      </w:pPr>
      <w:r>
        <w:rPr>
          <w:rFonts w:eastAsia="Times New Roman" w:cs="Times New Roman" w:ascii="Times New Roman" w:hAnsi="Times New Roman"/>
          <w:sz w:val="28"/>
          <w:szCs w:val="28"/>
          <w:lang w:eastAsia="ru-RU"/>
        </w:rPr>
        <w:t>По статистическим данным Тюменьстата количество молодежи от 14 до 30 лет в городе Салехарде на 01 января 2020 года составляет 10 810 человек (в сравнении с 2019 годом, численность молодёжи -10 780 человек).</w:t>
      </w:r>
    </w:p>
    <w:p>
      <w:pPr>
        <w:pStyle w:val="Normal"/>
        <w:widowControl/>
        <w:bidi w:val="0"/>
        <w:spacing w:lineRule="auto" w:line="240" w:before="0" w:after="0"/>
        <w:ind w:left="0" w:right="0" w:firstLine="567"/>
        <w:jc w:val="both"/>
        <w:rPr>
          <w:rStyle w:val="FontStyle12"/>
          <w:rFonts w:eastAsia="Times New Roman"/>
          <w:color w:val="auto"/>
          <w:sz w:val="28"/>
          <w:szCs w:val="28"/>
          <w:lang w:eastAsia="ru-RU"/>
        </w:rPr>
      </w:pPr>
      <w:r>
        <w:rPr>
          <w:rFonts w:eastAsia="Times New Roman" w:cs="Times New Roman" w:ascii="Times New Roman" w:hAnsi="Times New Roman"/>
          <w:sz w:val="28"/>
          <w:szCs w:val="28"/>
          <w:lang w:val="x-none" w:eastAsia="ru-RU"/>
        </w:rPr>
        <w:t>Управление культуры и молодежной политики Администрации города Салехарда исполняет полномочия учредителя в отношении одного учреждения молодёжной политики – муниципального автономного учреждения «Салехардский центр молодёжи». Данное учреждение является многофункциональным, объединяющим в себя все направления сферы молодёжной политики.</w:t>
      </w:r>
    </w:p>
    <w:p>
      <w:pPr>
        <w:pStyle w:val="Style21"/>
        <w:widowControl/>
        <w:bidi w:val="0"/>
        <w:spacing w:lineRule="auto" w:line="240"/>
        <w:ind w:left="0" w:right="0" w:firstLine="567"/>
        <w:jc w:val="both"/>
        <w:rPr/>
      </w:pPr>
      <w:r>
        <w:rPr>
          <w:rStyle w:val="FontStyle12"/>
          <w:sz w:val="28"/>
          <w:szCs w:val="28"/>
        </w:rPr>
        <w:t xml:space="preserve">За 2020 год </w:t>
      </w:r>
      <w:r>
        <w:rPr>
          <w:rFonts w:eastAsia="Times New Roman"/>
          <w:sz w:val="28"/>
          <w:szCs w:val="28"/>
          <w:lang w:val="x-none"/>
        </w:rPr>
        <w:t>муниципальным автономным учреждением «Салехардский центр молодёжи»</w:t>
      </w:r>
      <w:r>
        <w:rPr>
          <w:rStyle w:val="FontStyle12"/>
          <w:sz w:val="28"/>
          <w:szCs w:val="28"/>
        </w:rPr>
        <w:t xml:space="preserve"> проведено 176 мероприятий </w:t>
      </w:r>
      <w:r>
        <w:rPr>
          <w:rFonts w:eastAsia="Calibri"/>
          <w:sz w:val="28"/>
          <w:szCs w:val="28"/>
        </w:rPr>
        <w:t>(из них 147 мероприятий по муниципальному заданию, 29 дополнительных мероприятий) творческой, патриотической, экологической и спортивно-туристической направленности с участием более 4300 подростков, учащейся и работающей молодёжи, членов молодых семей.</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284 014 человек стали участниками мероприятия (из них 10 077 участников, принявших участие в офлайн/онлайн формате и 273 937 просмотров).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2020 году отдых для 347 детей был организован в оздоровительных организациях за пределами Ямало-Ненецкого автономного округа. Ребята отдыхали в лагерях Краснодарского края, Республики Крым, Тюменской области. Учащиеся, добившиеся успехов в спорте, творчестве, учёбе отправились на отдых в ВДЦ «Артек» (Республика Крым).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В период осенних и зимних каникул в формате онлайн состоялась каникулярная школа «Путешествие Робинзона». В рамках, которой были организованы различные мастер-классы, викторины, кроссворды, викторины и другие мероприятия. Количество просмотров составило около 25 000.</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Были проведены туристические экскурсии и онлайн конкурсы, организовывали квесты, пожилым горожанам оказывалось адресная помощь, волонтёрское сопровождение выборов.</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Наиболее яркие мероприятия 2020 года:</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b/>
          <w:bCs/>
          <w:i/>
          <w:sz w:val="28"/>
          <w:szCs w:val="28"/>
        </w:rPr>
        <w:t>«Городской фестиваль граффити «Культурная оборона»</w:t>
      </w:r>
      <w:r>
        <w:rPr>
          <w:rFonts w:eastAsia="Calibri" w:cs="Times New Roman" w:ascii="Times New Roman" w:hAnsi="Times New Roman"/>
          <w:b/>
          <w:bCs/>
          <w:sz w:val="28"/>
          <w:szCs w:val="28"/>
        </w:rPr>
        <w:t>.</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В рамках фестиваля граффити «Культурная оборона» с участием ведущих программы «Орел и Решка» в период с 04 по 08 августа 2020 года в зарисовке в стиле граффити был определен объект по улице Чубынина, д. 25 «Белый медведь». В нанесении логотипа телепередачи «ОРЕЛиРЕШКА» принял участие популярный телеведущий Тимур Родригез. Также на арт-объект был нанесен новый туристический брендбук нашего региона.</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Девятый фестиваль граффити «Культурная оборона» завершился к юбилею города. К сентябрю на улицах города появились также арт – объекты: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«Геолог» - ул. Подшибякина;</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«Ягода морошка» по улице Титова;</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«Голубое небо» по ул. Арктической;</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«Северные мотивы» трансформаторная будка во дворе по ул. Чубынина 12.</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b/>
          <w:i/>
          <w:sz w:val="28"/>
          <w:szCs w:val="28"/>
        </w:rPr>
        <w:t>АвтоМото</w:t>
      </w:r>
      <w:r>
        <w:rPr>
          <w:rFonts w:eastAsia="Calibri" w:cs="Times New Roman" w:ascii="Times New Roman" w:hAnsi="Times New Roman"/>
          <w:b/>
          <w:i/>
          <w:sz w:val="28"/>
          <w:szCs w:val="28"/>
          <w:lang w:val="en-US"/>
        </w:rPr>
        <w:t>Fest</w:t>
      </w:r>
      <w:r>
        <w:rPr>
          <w:rFonts w:eastAsia="Calibri" w:cs="Times New Roman" w:ascii="Times New Roman" w:hAnsi="Times New Roman"/>
          <w:b/>
          <w:i/>
          <w:sz w:val="28"/>
          <w:szCs w:val="28"/>
        </w:rPr>
        <w:t xml:space="preserve"> «Summer-off» Провожаем лето!</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Ежегодное мероприятие для молодёжи прошло в канун празднования 425-летия окружной столицы. Для участников и гостей выступили творческие коллективы Салехарда ВИА ПиП «Бубинга» и «НД». </w:t>
      </w:r>
      <w:r>
        <w:rPr>
          <w:rFonts w:eastAsia="Calibri" w:cs="Times New Roman" w:ascii="Times New Roman" w:hAnsi="Times New Roman"/>
          <w:sz w:val="28"/>
          <w:szCs w:val="28"/>
          <w:lang w:val="en-US"/>
        </w:rPr>
        <w:t>DJ</w:t>
      </w:r>
      <w:r>
        <w:rPr>
          <w:rFonts w:eastAsia="Calibri" w:cs="Times New Roman" w:ascii="Times New Roman" w:hAnsi="Times New Roman"/>
          <w:sz w:val="28"/>
          <w:szCs w:val="28"/>
        </w:rPr>
        <w:t xml:space="preserve"> Хамыч украсил проект музыкальным сопровождением.</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С показательными выступлениями на спортивных мотоциклах выступили любители мотокросса.</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По - настоящему громкими стали соревнования мощности акустических</w:t>
      </w:r>
      <w:r>
        <w:rPr>
          <w:rFonts w:cs="Times New Roman" w:ascii="Times New Roman" w:hAnsi="Times New Roman"/>
          <w:color w:val="000000"/>
          <w:sz w:val="28"/>
          <w:szCs w:val="28"/>
          <w:shd w:fill="FFFFFF" w:val="clear"/>
        </w:rPr>
        <w:t xml:space="preserve"> </w:t>
      </w:r>
      <w:r>
        <w:rPr>
          <w:rFonts w:eastAsia="Calibri" w:cs="Times New Roman" w:ascii="Times New Roman" w:hAnsi="Times New Roman"/>
          <w:sz w:val="28"/>
          <w:szCs w:val="28"/>
        </w:rPr>
        <w:t>систем автомобилей «Автозвук»:</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Победители и призеры награждены кубками, дипломами и ценными призами.</w:t>
      </w:r>
    </w:p>
    <w:p>
      <w:pPr>
        <w:pStyle w:val="Normal"/>
        <w:widowControl/>
        <w:bidi w:val="0"/>
        <w:spacing w:lineRule="auto" w:line="240" w:before="0" w:after="0"/>
        <w:ind w:left="0" w:right="0" w:firstLine="567"/>
        <w:jc w:val="both"/>
        <w:rPr>
          <w:rFonts w:ascii="Times New Roman" w:hAnsi="Times New Roman" w:eastAsia="Calibri" w:cs="Times New Roman"/>
          <w:b/>
          <w:b/>
          <w:i/>
          <w:i/>
          <w:sz w:val="28"/>
          <w:szCs w:val="28"/>
        </w:rPr>
      </w:pPr>
      <w:r>
        <w:rPr>
          <w:rFonts w:eastAsia="Calibri" w:cs="Times New Roman" w:ascii="Times New Roman" w:hAnsi="Times New Roman"/>
          <w:b/>
          <w:i/>
          <w:sz w:val="28"/>
          <w:szCs w:val="28"/>
        </w:rPr>
        <w:t>«Молодёжный квартал» творческая площадка.</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Творческая площадка «Молодёжный квартал» прошла в рамках мероприятий, приуроченных к празднованию 425 - летия города Салехарда.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На центральной сцене выступили творческие коллектив и молодёжь города:</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Николай Чумарин, Данил Розна, Chivareeva &amp; EGOeasto, Кавер группа Minus 40 Minus Band, танцевальная команда «The 7th Sense», Dj Stich.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По периметру площади организованы площадки для проведения мастер-классов:</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«Современный танец» от Елизаветы Сокол и Влада Баглюка;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«Игра на барабанах» от Александра Стеценко. Все желающие могли сфотографироваться с живыми скульптурами (волонтеры ГВК).</w:t>
      </w:r>
    </w:p>
    <w:p>
      <w:pPr>
        <w:pStyle w:val="Normal"/>
        <w:widowControl/>
        <w:bidi w:val="0"/>
        <w:spacing w:lineRule="auto" w:line="240" w:before="0" w:after="0"/>
        <w:ind w:left="0" w:right="0" w:firstLine="567"/>
        <w:jc w:val="both"/>
        <w:rPr>
          <w:rFonts w:ascii="Times New Roman" w:hAnsi="Times New Roman" w:eastAsia="Calibri" w:cs="Times New Roman"/>
          <w:b/>
          <w:b/>
          <w:i/>
          <w:i/>
          <w:sz w:val="28"/>
          <w:szCs w:val="28"/>
        </w:rPr>
      </w:pPr>
      <w:r>
        <w:rPr>
          <w:rFonts w:eastAsia="Calibri" w:cs="Times New Roman" w:ascii="Times New Roman" w:hAnsi="Times New Roman"/>
          <w:b/>
          <w:i/>
          <w:sz w:val="28"/>
          <w:szCs w:val="28"/>
        </w:rPr>
        <w:t>«Я волонтёр».</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5 декабря 2020 года состоялось мероприятие для добровольцев города Салехарда «Я волонтёр» в формате онлайн на интернет платформе zoom, в официальной группе «Салехардский центр молодежи» социальной сети Instagram, а также в офлайн формате на базе МАУ «Салехардский центр молодежи»: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1. Вебинар «Добровольчество: точки роста, драйверы развития» в формате онлайн на интернет платформе zoom; вебинар проводила тренер Ассоциации спикеров СНГ, спикер GFS/ США, NLP-практик и наставник образовательных проектов Радислава Гандапаса – Надежда Кириченко.</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 Ток-шоу «По итогам уходящего» с представителями общественных организаций и общественных объединений.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 Интеллектуальная игра «На диване». Игра состояла из трех туров, на темы: добровольчество, кино, Ямал.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4. Наградил активных волонтеров города и победителей молодёжно-социального проекта «Карта волонтера 2020» Глава города А.Л. Титовский. Обладателями карт стали: волонтёр ГВК «Волонтёры Салехарда» Нурмухаметов Марат (золотая карта), волонтёр ГВК «Волонтёры Салехарда» Ермоленко Сергей (серебряная карта), волонтёр ГВК «Волонтёры Салехарда» Шуклина Кристина (бронзовая карта). Награждение волонтёров состоялось на базе МАУ «Салехардский центр молодежи», с дальнейшей публикацией в официальных группах «Салехардский центр молодежи» социальных сетей Instagram и ВКонтакте.</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5. Интерактивная игра и просмотр фильма #Яволонтер в официальных группах «Салехардский центр молодежи» социальных сетей Instagram и ВКонтакте.</w:t>
      </w:r>
    </w:p>
    <w:p>
      <w:pPr>
        <w:pStyle w:val="ListParagraph"/>
        <w:widowControl/>
        <w:bidi w:val="0"/>
        <w:spacing w:lineRule="auto" w:line="240" w:before="0" w:after="0"/>
        <w:ind w:left="0" w:right="0" w:firstLine="567"/>
        <w:contextualSpacing/>
        <w:jc w:val="both"/>
        <w:rPr>
          <w:rFonts w:ascii="Times New Roman" w:hAnsi="Times New Roman" w:cs="Times New Roman"/>
          <w:sz w:val="28"/>
          <w:szCs w:val="28"/>
        </w:rPr>
      </w:pPr>
      <w:r>
        <w:rPr>
          <w:rFonts w:cs="Times New Roman" w:ascii="Times New Roman" w:hAnsi="Times New Roman"/>
          <w:sz w:val="28"/>
          <w:szCs w:val="28"/>
        </w:rPr>
        <w:t>На базе МАУ «Салехардский центр молодежи» действует клубное молодёжное формирование городской волонтёрский корпус «Волонтёры Салехарда» и муниципальное отделение «Волонтёры Победы», ребята участвуют в подготовке и проведении всероссийских, окружных и городских мероприятий, в подготовке и проведении мероприятий, посвящённых празднованию 75-летия Победы в Великой Отечественной Войне.</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В 2020 году было организованно и проведено 33 мероприятия (в рамках муниципального задания), в которых приняло участие 1 450 человек в число которых входили учащиеся общеобразовательных учреждений города Салехард, студенты и молодые граждане проживающий в муниципальном образовании,</w:t>
      </w:r>
      <w:r>
        <w:rPr>
          <w:rFonts w:eastAsia="Calibri" w:cs="Times New Roman" w:ascii="Times New Roman" w:hAnsi="Times New Roman"/>
          <w:sz w:val="28"/>
          <w:szCs w:val="28"/>
        </w:rPr>
        <w:t xml:space="preserve"> </w:t>
      </w:r>
      <w:r>
        <w:rPr>
          <w:rFonts w:cs="Times New Roman" w:ascii="Times New Roman" w:hAnsi="Times New Roman"/>
          <w:sz w:val="28"/>
          <w:szCs w:val="28"/>
        </w:rPr>
        <w:t xml:space="preserve">охват аудитории в социальных сетях составил – 101 128 просмотров): </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мероприятие в рамках Всероссийской патриотической акции #Блокадный хлеб;</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«Россия - страна Героев!» историко-образовательный онлайн квест;</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памятная онлайн акция, посвященный Дню партизан и подпольщиков;</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«Герой Победы» онлайн акция, посвященная труженикам тыла;</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Всероссийский кинопоказ военных фильмов #Военное кино Великой страны;</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Всероссийский исторический квест Риск, посвящённый памятным датам военной истории России;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акция, посвященная Дню матери #МамаЯтебяЛюблю;</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экскурсия и показ художественного фильма о Герое Советского Союза Зое Космодемьянской;</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всероссийская акция «Письмо Победы»;</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патриотическая акция «Служили наши земляки», посвященная Дню защитника Отечества;</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 #Защитники - </w:t>
      </w:r>
      <w:bookmarkStart w:id="0" w:name="_GoBack"/>
      <w:bookmarkEnd w:id="0"/>
      <w:r>
        <w:rPr>
          <w:rFonts w:cs="Times New Roman" w:ascii="Times New Roman" w:hAnsi="Times New Roman"/>
          <w:sz w:val="28"/>
          <w:szCs w:val="28"/>
        </w:rPr>
        <w:t>интеллектуальная игра клуба Академик;</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международная акция «Георгиевская ленточка»;</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«Памятные даты Великой Победы» Всероссийский онлайн проект по историко - патриотическому воспитанию;</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всероссийская акция «Окна Победы»;</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«субботник» уборка у домов пожилых ветеранов;</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Всероссийская акция «Письмо Победы»;</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флешмоб «Наследники Победы»;</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всероссийский проект «Памяти Героев»;</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флешмоб #мывсеравноскажемспасибо;</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«горячая линия» телефонное поздравление ветеранов;</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международная акция «Бессмертный полк онлайн»;</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«Возложение цветов к вечному огню»;</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общероссийская патриотическая акция «Вахта памяти»;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патриотическая акция «Свеча памяти»;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Всероссийская акция «Фонарики Победы»;</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акция «Красная гвоздика»;</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 акция «Триколор» приуроченная к празднованию Дня России; </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акция в онлайн формате «Свеча памяти»;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патриотическая акция «Свеча памяти»;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акция «Триколор», приуроченная празднованию Дня Государственного флага Российской Федерации;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акция «Набираем высоту», приуроченная празднованию Дня Государственного флага Российской Федерации;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детско-юношеская военно-спортивная игра «Зарница»;</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Операция ЩИТ, военно -штурмовой квест;</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«Поздравим вместе» акция ко дню народного единства;</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«День призывника» социально-патриотическая акция.</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На базе МАУ «Салехардский центр молодежи» осуществляет свою деятельность клубное молодёжное формирование «Молодая семья «Гармония». Клубное формирование в рамках своей деятельности участвует в общих программах, проектах и акциях муниципального автономного учреждения, также принимает участие в муниципальных, региональных, общероссийских фестивалях, спортивных мероприятиях, выставках, конкурсах, смотрах, турнирах, показах и т.п., участвует в социально-значимой, социально-полезной деятельности на территории города, автономного округа. В рамках работы КМФ «Молодая семья «Гармония» проводятся встречи, беседы, тренинги: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«Гармония жизни зависит от нас»;</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 «Особенности воспитания»; </w:t>
      </w:r>
    </w:p>
    <w:p>
      <w:pPr>
        <w:pStyle w:val="Normal"/>
        <w:widowControl/>
        <w:bidi w:val="0"/>
        <w:spacing w:lineRule="auto" w:line="240" w:before="0" w:after="0"/>
        <w:ind w:left="0" w:right="0" w:firstLine="567"/>
        <w:jc w:val="both"/>
        <w:rPr>
          <w:rFonts w:ascii="Times New Roman" w:hAnsi="Times New Roman" w:cs="Times New Roman"/>
          <w:bCs/>
          <w:sz w:val="28"/>
          <w:szCs w:val="28"/>
        </w:rPr>
      </w:pPr>
      <w:r>
        <w:rPr>
          <w:rFonts w:cs="Times New Roman" w:ascii="Times New Roman" w:hAnsi="Times New Roman"/>
          <w:sz w:val="28"/>
          <w:szCs w:val="28"/>
        </w:rPr>
        <w:t>-</w:t>
      </w:r>
      <w:r>
        <w:rPr>
          <w:rFonts w:cs="Times New Roman" w:ascii="Times New Roman" w:hAnsi="Times New Roman"/>
          <w:bCs/>
          <w:sz w:val="28"/>
          <w:szCs w:val="28"/>
        </w:rPr>
        <w:t xml:space="preserve"> «Любовь и дружба»;</w:t>
      </w:r>
    </w:p>
    <w:p>
      <w:pPr>
        <w:pStyle w:val="ListParagraph"/>
        <w:widowControl/>
        <w:bidi w:val="0"/>
        <w:spacing w:lineRule="auto" w:line="240" w:before="0" w:after="0"/>
        <w:ind w:left="0" w:right="0" w:firstLine="567"/>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sz w:val="28"/>
          <w:szCs w:val="28"/>
        </w:rPr>
        <w:t xml:space="preserve">«Когда начинать воспитывать ребенка? Когда уже поздно? Воспитание детей в раннем детстве.»; </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Информирование о мерах безопасности и поведения во время самоизоляции с целью адаптирования к новым условиям обучения детей во время режима самоизоляции.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Молодые семьи принимают активное участие в патриотических акциях, посвященных Дню Победы и Дню Государственного флага Российской Федерации:</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флешмоб «Наследники Победы»;</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флешмоб «Мы все равно скажем спасибо»;</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акция «Набираем высоту»;</w:t>
      </w:r>
    </w:p>
    <w:p>
      <w:pPr>
        <w:pStyle w:val="ListParagraph"/>
        <w:widowControl/>
        <w:bidi w:val="0"/>
        <w:spacing w:lineRule="auto" w:line="240" w:before="0" w:after="0"/>
        <w:ind w:left="0" w:right="0" w:firstLine="567"/>
        <w:contextualSpacing/>
        <w:jc w:val="both"/>
        <w:rPr>
          <w:rFonts w:ascii="Times New Roman" w:hAnsi="Times New Roman" w:cs="Times New Roman"/>
          <w:sz w:val="28"/>
          <w:szCs w:val="28"/>
        </w:rPr>
      </w:pPr>
      <w:r>
        <w:rPr>
          <w:rFonts w:cs="Times New Roman" w:ascii="Times New Roman" w:hAnsi="Times New Roman"/>
          <w:sz w:val="28"/>
          <w:szCs w:val="28"/>
        </w:rPr>
        <w:t>Ежегодно участники клубного молодёжного формирования принимают участие в конкурсе на звание «Семья Ямала». Проводится «Городской квест для молодых семей».</w:t>
      </w:r>
      <w:r>
        <w:rPr>
          <w:rFonts w:cs="Times New Roman" w:ascii="Times New Roman" w:hAnsi="Times New Roman"/>
          <w:b/>
          <w:sz w:val="28"/>
          <w:szCs w:val="28"/>
        </w:rPr>
        <w:t xml:space="preserve"> </w:t>
      </w:r>
      <w:r>
        <w:rPr>
          <w:rFonts w:cs="Times New Roman" w:ascii="Times New Roman" w:hAnsi="Times New Roman"/>
          <w:sz w:val="28"/>
          <w:szCs w:val="28"/>
        </w:rPr>
        <w:t>Целью проведения квеста является формирование культуры семейного отдыха у молодых семей, через организацию и проведение совместных семейных мероприятий. Для участия в квесте приглашаются молодые семьи города Салехарда, официально зарегистрированные в браке.</w:t>
      </w:r>
    </w:p>
    <w:p>
      <w:pPr>
        <w:pStyle w:val="ListParagraph"/>
        <w:widowControl/>
        <w:bidi w:val="0"/>
        <w:spacing w:lineRule="auto" w:line="240" w:before="0" w:after="0"/>
        <w:ind w:left="0" w:right="0" w:firstLine="567"/>
        <w:contextualSpacing/>
        <w:jc w:val="both"/>
        <w:rPr>
          <w:rFonts w:ascii="Times New Roman" w:hAnsi="Times New Roman" w:cs="Times New Roman"/>
          <w:sz w:val="28"/>
          <w:szCs w:val="28"/>
        </w:rPr>
      </w:pPr>
      <w:r>
        <w:rPr>
          <w:rFonts w:cs="Times New Roman" w:ascii="Times New Roman" w:hAnsi="Times New Roman"/>
          <w:sz w:val="28"/>
          <w:szCs w:val="28"/>
        </w:rPr>
        <w:t>В отчетном периоде для молодых семей города проведено мероприятие - «Досуговая площадка для молодых семей «В кругу семьи». Мероприятие прошло в онлайн формате. Задача мероприятия - объединить семьи во время досуга, научить их отдыхать вместе для создания единого пространства общения, а также предоставить возможность получения полезной для них информации.</w:t>
      </w:r>
    </w:p>
    <w:p>
      <w:pPr>
        <w:pStyle w:val="Normal"/>
        <w:widowControl/>
        <w:bidi w:val="0"/>
        <w:spacing w:lineRule="auto" w:line="240" w:before="0" w:after="0"/>
        <w:ind w:left="0" w:right="0" w:firstLine="567"/>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В 2020 году по профилактике социальных девиаций в молодёжной среде,</w:t>
      </w:r>
      <w:r>
        <w:rPr>
          <w:rFonts w:eastAsia="Times New Roman" w:cs="Times New Roman" w:ascii="Times New Roman" w:hAnsi="Times New Roman"/>
          <w:sz w:val="28"/>
          <w:szCs w:val="28"/>
          <w:lang w:eastAsia="ru-RU"/>
        </w:rPr>
        <w:t xml:space="preserve"> безнадзорности и правонарушений несовершеннолетних, по профилактике наркомании, токсикомании и алкоголизма среди молодёжи проведены следующие мероприятия:</w:t>
      </w:r>
    </w:p>
    <w:p>
      <w:pPr>
        <w:pStyle w:val="Normal"/>
        <w:widowControl/>
        <w:bidi w:val="0"/>
        <w:spacing w:lineRule="auto" w:line="240" w:before="0" w:after="0"/>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акция, посвящённая Международному дню борьбы со злоупотреблением наркотическими средствами и их незаконным оборотом, Всемирному дню памяти жертв СПИДа и Всемирному дню борьбы со СПИДом была изготовлена полиграфическая продукция для распространения во время проведения акций. Число участников акций – 110 человек;</w:t>
      </w:r>
    </w:p>
    <w:p>
      <w:pPr>
        <w:pStyle w:val="Normal"/>
        <w:widowControl/>
        <w:bidi w:val="0"/>
        <w:spacing w:lineRule="auto" w:line="240" w:before="0" w:after="0"/>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 заданию антинаркотической комиссии в муниципальном образовании город Салехард в</w:t>
      </w:r>
      <w:r>
        <w:rPr>
          <w:rFonts w:eastAsia="Times New Roman" w:cs="Times New Roman" w:ascii="Times New Roman" w:hAnsi="Times New Roman"/>
          <w:sz w:val="28"/>
          <w:szCs w:val="28"/>
          <w:lang w:eastAsia="ru-RU"/>
        </w:rPr>
        <w:t xml:space="preserve"> целях организации досуга несовершеннолетних</w:t>
      </w:r>
      <w:r>
        <w:rPr>
          <w:rFonts w:eastAsia="Times New Roman" w:cs="Times New Roman" w:ascii="Times New Roman" w:hAnsi="Times New Roman"/>
          <w:sz w:val="28"/>
          <w:szCs w:val="28"/>
        </w:rPr>
        <w:t xml:space="preserve"> изготовлен сборник «Умей жить интересно!» в количестве 800 экземпляров. Сборник был размещён МАУ «СЦМ» в сети интернет. Число получателей сборника – 800 человек, количество онлайн просмотров - 194.</w:t>
      </w:r>
    </w:p>
    <w:p>
      <w:pPr>
        <w:pStyle w:val="Normal"/>
        <w:widowControl/>
        <w:tabs>
          <w:tab w:val="left" w:pos="1080" w:leader="none"/>
        </w:tabs>
        <w:bidi w:val="0"/>
        <w:spacing w:lineRule="auto" w:line="240" w:before="0" w:after="0"/>
        <w:ind w:left="0" w:right="0"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30 октября 2020 года в рамках реализации проекта «Социальный театр» прошла постановка «И как только с этим жить...» театральной студии «Феникс». В основе сюжета лежит трагическая история о неразделенной любви. Герои постановки – участники клубного молодёжного формирования и несовершеннолетние, состоящие на учете в КДНиЗП при Администрации муниципального образования город Салехард, в отделении по делам несовершеннолетних ОМВД по городу Салехарду и на внутришкольных учетах.</w:t>
      </w:r>
    </w:p>
    <w:p>
      <w:pPr>
        <w:pStyle w:val="Normal"/>
        <w:widowControl/>
        <w:bidi w:val="0"/>
        <w:spacing w:lineRule="auto" w:line="240" w:before="0" w:after="0"/>
        <w:ind w:left="0" w:righ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рамках профилактики экстремизма</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в молодёжной среде прошли следующие мероприятия: </w:t>
      </w:r>
    </w:p>
    <w:p>
      <w:pPr>
        <w:pStyle w:val="Normal"/>
        <w:widowControl/>
        <w:bidi w:val="0"/>
        <w:spacing w:lineRule="auto" w:line="240" w:before="0" w:after="0"/>
        <w:ind w:left="0" w:righ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акция «Свечи Беслана». 3 сентября в день солидарности борьбы с терроризмом участники акции зажгли свечи в память о жертвах бесланской трагедии, в память всех жертв терроризма. В мероприятии приняли участие жители города и кадетский класс МБОУ СОШ №6 и СОШ №4.</w:t>
      </w:r>
    </w:p>
    <w:p>
      <w:pPr>
        <w:pStyle w:val="Normal"/>
        <w:widowControl/>
        <w:bidi w:val="0"/>
        <w:spacing w:lineRule="auto" w:line="240" w:before="0" w:after="0"/>
        <w:ind w:left="0" w:righ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показ художественного фильма «Дамасское время»;</w:t>
      </w:r>
    </w:p>
    <w:p>
      <w:pPr>
        <w:pStyle w:val="Normal"/>
        <w:widowControl/>
        <w:bidi w:val="0"/>
        <w:spacing w:lineRule="auto" w:line="240" w:before="0" w:after="0"/>
        <w:ind w:left="0" w:righ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онлайн - показ художественного фильма «А.У.Е.»;</w:t>
      </w:r>
    </w:p>
    <w:p>
      <w:pPr>
        <w:pStyle w:val="Normal"/>
        <w:widowControl/>
        <w:bidi w:val="0"/>
        <w:spacing w:lineRule="auto" w:line="240" w:before="0" w:after="0"/>
        <w:ind w:left="0" w:righ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«Бумеранг» - онлайн показ видеофильма по профилактике зависимости ПАВ, кинопоказ фильма «Таблетка».</w:t>
      </w:r>
    </w:p>
    <w:p>
      <w:pPr>
        <w:pStyle w:val="ListParagraph"/>
        <w:widowControl/>
        <w:tabs>
          <w:tab w:val="left" w:pos="993" w:leader="none"/>
          <w:tab w:val="left" w:pos="1080" w:leader="none"/>
          <w:tab w:val="left" w:pos="1260" w:leader="none"/>
        </w:tabs>
        <w:bidi w:val="0"/>
        <w:spacing w:lineRule="auto" w:line="240" w:before="0" w:after="0"/>
        <w:ind w:left="0" w:right="0"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2020 году прошли мероприятия, направленные на достижение показателей регионального проекта «Социальная активность» Национального проекта «Образование».</w:t>
      </w:r>
    </w:p>
    <w:p>
      <w:pPr>
        <w:pStyle w:val="ListParagraph"/>
        <w:widowControl/>
        <w:tabs>
          <w:tab w:val="left" w:pos="993" w:leader="none"/>
          <w:tab w:val="left" w:pos="1080" w:leader="none"/>
          <w:tab w:val="left" w:pos="1260" w:leader="none"/>
        </w:tabs>
        <w:bidi w:val="0"/>
        <w:spacing w:lineRule="auto" w:line="240" w:before="0" w:after="0"/>
        <w:ind w:left="0" w:right="0" w:firstLine="567"/>
        <w:contextualSpacing/>
        <w:jc w:val="both"/>
        <w:rPr>
          <w:rFonts w:ascii="Times New Roman" w:hAnsi="Times New Roman" w:eastAsia="Times New Roman" w:cs="Times New Roman"/>
          <w:b/>
          <w:b/>
          <w:sz w:val="28"/>
          <w:szCs w:val="28"/>
          <w:lang w:eastAsia="ru-RU"/>
        </w:rPr>
      </w:pPr>
      <w:r>
        <w:rPr>
          <w:rFonts w:cs="Times New Roman" w:ascii="Times New Roman" w:hAnsi="Times New Roman"/>
          <w:sz w:val="28"/>
          <w:szCs w:val="28"/>
        </w:rPr>
        <w:t>- Федеральный проект #Дискуссионные студенческие клубы «Диалог на равных». Проводиться с целью, наглядно показать молодёжи на примере успешных и известных людей, что современная Россия - это страна возможностей, где можно добиться успеха в любой сфере и в любом регионе.</w:t>
      </w:r>
    </w:p>
    <w:p>
      <w:pPr>
        <w:pStyle w:val="ListParagraph"/>
        <w:widowControl/>
        <w:bidi w:val="0"/>
        <w:spacing w:lineRule="auto" w:line="240" w:before="0" w:after="0"/>
        <w:ind w:left="0" w:right="0" w:firstLine="567"/>
        <w:contextualSpacing/>
        <w:jc w:val="both"/>
        <w:rPr>
          <w:rFonts w:ascii="Times New Roman" w:hAnsi="Times New Roman" w:cs="Times New Roman"/>
          <w:sz w:val="28"/>
          <w:szCs w:val="28"/>
        </w:rPr>
      </w:pPr>
      <w:r>
        <w:rPr>
          <w:rFonts w:cs="Times New Roman" w:ascii="Times New Roman" w:hAnsi="Times New Roman"/>
          <w:sz w:val="28"/>
          <w:szCs w:val="28"/>
        </w:rPr>
        <w:t>27 ноября в формате онлайн, на платформе Zoom, прошла встреча с российским режиссером театра и кино Данилом Олеговичем Чащиным.</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Тема встречи: «Весь мир театр, а люди в нем актеры».</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Участниками встречи стали учащиеся: «ЯМК»; «ЯПАТ»; СОШ №1, «Обдорской гимназии». Количество участников 200 человек.</w:t>
      </w:r>
    </w:p>
    <w:p>
      <w:pPr>
        <w:pStyle w:val="ListParagraph"/>
        <w:widowControl/>
        <w:bidi w:val="0"/>
        <w:spacing w:lineRule="auto" w:line="240" w:before="0" w:after="0"/>
        <w:ind w:left="0" w:right="0" w:firstLine="567"/>
        <w:contextualSpacing/>
        <w:jc w:val="both"/>
        <w:rPr>
          <w:rFonts w:ascii="Times New Roman" w:hAnsi="Times New Roman" w:cs="Times New Roman"/>
          <w:sz w:val="28"/>
          <w:szCs w:val="28"/>
        </w:rPr>
      </w:pPr>
      <w:r>
        <w:rPr>
          <w:rFonts w:cs="Times New Roman" w:ascii="Times New Roman" w:hAnsi="Times New Roman"/>
          <w:sz w:val="28"/>
          <w:szCs w:val="28"/>
        </w:rPr>
        <w:t>3 декабря в формате онлайн, на платформе Zoom, прошла встреча с Ю.В. Медяником - российским дирижером, музыкантом-мультиинструменталистом, лауреатом международных конкурсов, послом благотворительного фонда «Будь человеком».</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Тема встречи «Быть человеком». Участниками встречи стали учащиеся: «ЯМК», «ЯПАТ», ДШИ г.г. Салехард и Лабытнанги, учащиеся СОШ г. Салехард. Количество участников 300 человек. Общее количество участников Федерального проекта «Диалог на равных» составил 500 человек.</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Салехарде функционирует Городской волонтерский корпус «Волонтёры Салехарда» (далее - ГВК) при клубном формировании муниципального автономного учреждения «Салехардский центр молодёжи». </w:t>
      </w:r>
      <w:r>
        <w:rPr>
          <w:rFonts w:eastAsia="Calibri" w:cs="Times New Roman" w:ascii="Times New Roman" w:hAnsi="Times New Roman"/>
          <w:iCs/>
          <w:color w:val="000000"/>
          <w:sz w:val="28"/>
          <w:szCs w:val="28"/>
        </w:rPr>
        <w:t xml:space="preserve">Проведена информационная кампания о работе ГВК среди населения города (активно ведется работа в социальных сетях: ВКонтакте, Инстаграм). Работа ГВК направлена на оказание помощи нуждающимся, помощь волонтерским образовательным организациям, а также создание условий по вовлечению граждан в добровольческую деятельность. Салехардский центр молодёжи имеет Соглашения о сотрудничестве с региональными и городскими общественными организациями, в том числе добровольческой направленности.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Экологическое волонтёрство (благоустройство и озеленение территории: участие в акциях «Чистый город», «Чистый лес», Всероссийский день посадки леса, помощь животным и т.д.);</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Социальное волонтёрство – (благотворительные акции и мероприятия, помощь, оказавшимся в ТЖС, ветеранам, инвалидам, оказание помощи на дому в период пандемии.)</w:t>
      </w:r>
    </w:p>
    <w:p>
      <w:pPr>
        <w:pStyle w:val="Normal"/>
        <w:widowControl/>
        <w:bidi w:val="0"/>
        <w:spacing w:lineRule="auto" w:line="240" w:before="0" w:after="0"/>
        <w:ind w:left="0" w:right="0" w:firstLine="567"/>
        <w:jc w:val="both"/>
        <w:rPr>
          <w:rFonts w:ascii="Times New Roman" w:hAnsi="Times New Roman" w:eastAsia="Calibri" w:cs="Times New Roman"/>
          <w:iCs/>
          <w:color w:val="000000"/>
          <w:sz w:val="28"/>
          <w:szCs w:val="28"/>
        </w:rPr>
      </w:pPr>
      <w:r>
        <w:rPr>
          <w:rFonts w:eastAsia="Calibri" w:cs="Times New Roman" w:ascii="Times New Roman" w:hAnsi="Times New Roman"/>
          <w:iCs/>
          <w:color w:val="000000"/>
          <w:sz w:val="28"/>
          <w:szCs w:val="28"/>
        </w:rPr>
        <w:t>Таким образом, число вовлеченных в волонтерскую деятельность в 2020 году составило:</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в сфере культуры и молодёжной политики (событийное, патриотическое, организационно-информационное направления) – </w:t>
      </w:r>
      <w:r>
        <w:rPr>
          <w:rFonts w:eastAsia="Calibri" w:cs="Times New Roman" w:ascii="Times New Roman" w:hAnsi="Times New Roman"/>
          <w:b/>
          <w:sz w:val="28"/>
          <w:szCs w:val="28"/>
        </w:rPr>
        <w:t>1586 чел.</w:t>
      </w:r>
      <w:r>
        <w:rPr>
          <w:rFonts w:eastAsia="Calibri" w:cs="Times New Roman" w:ascii="Times New Roman" w:hAnsi="Times New Roman"/>
          <w:sz w:val="28"/>
          <w:szCs w:val="28"/>
        </w:rPr>
        <w:t>;</w:t>
      </w:r>
    </w:p>
    <w:p>
      <w:pPr>
        <w:pStyle w:val="Normal"/>
        <w:widowControl/>
        <w:bidi w:val="0"/>
        <w:spacing w:lineRule="auto" w:line="240" w:before="0" w:after="0"/>
        <w:ind w:left="0" w:right="0" w:firstLine="567"/>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 в сфере образования (патриотическое и профилактическое направление) – </w:t>
        <w:br/>
      </w:r>
      <w:r>
        <w:rPr>
          <w:rFonts w:eastAsia="Calibri" w:cs="Times New Roman" w:ascii="Times New Roman" w:hAnsi="Times New Roman"/>
          <w:b/>
          <w:sz w:val="28"/>
          <w:szCs w:val="28"/>
        </w:rPr>
        <w:t>2986</w:t>
      </w:r>
      <w:r>
        <w:rPr>
          <w:rFonts w:eastAsia="Calibri" w:cs="Times New Roman" w:ascii="Times New Roman" w:hAnsi="Times New Roman"/>
          <w:sz w:val="28"/>
          <w:szCs w:val="28"/>
        </w:rPr>
        <w:t xml:space="preserve"> </w:t>
      </w:r>
      <w:r>
        <w:rPr>
          <w:rFonts w:eastAsia="Calibri" w:cs="Times New Roman" w:ascii="Times New Roman" w:hAnsi="Times New Roman"/>
          <w:b/>
          <w:sz w:val="28"/>
          <w:szCs w:val="28"/>
        </w:rPr>
        <w:t xml:space="preserve">чел.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в сфере физической культуры и спорта (событийное, спортивное направление) – </w:t>
        <w:br/>
      </w:r>
      <w:r>
        <w:rPr>
          <w:rFonts w:eastAsia="Calibri" w:cs="Times New Roman" w:ascii="Times New Roman" w:hAnsi="Times New Roman"/>
          <w:b/>
          <w:sz w:val="28"/>
          <w:szCs w:val="28"/>
        </w:rPr>
        <w:t>74 чел.;</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в сфере городского хозяйства (экологическое направления) – </w:t>
      </w:r>
      <w:r>
        <w:rPr>
          <w:rFonts w:eastAsia="Calibri" w:cs="Times New Roman" w:ascii="Times New Roman" w:hAnsi="Times New Roman"/>
          <w:b/>
          <w:sz w:val="28"/>
          <w:szCs w:val="28"/>
        </w:rPr>
        <w:t>3000 чел.;</w:t>
      </w:r>
    </w:p>
    <w:p>
      <w:pPr>
        <w:pStyle w:val="Normal"/>
        <w:widowControl/>
        <w:bidi w:val="0"/>
        <w:spacing w:lineRule="auto" w:line="240" w:before="0" w:after="0"/>
        <w:ind w:left="0" w:right="0" w:firstLine="567"/>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 в сфере общей политики (работа общественных волонтерских организаций) – </w:t>
        <w:br/>
      </w:r>
      <w:r>
        <w:rPr>
          <w:rFonts w:eastAsia="Calibri" w:cs="Times New Roman" w:ascii="Times New Roman" w:hAnsi="Times New Roman"/>
          <w:b/>
          <w:sz w:val="28"/>
          <w:szCs w:val="28"/>
        </w:rPr>
        <w:t>1573 чел.;</w:t>
      </w:r>
    </w:p>
    <w:p>
      <w:pPr>
        <w:pStyle w:val="Normal"/>
        <w:widowControl/>
        <w:bidi w:val="0"/>
        <w:spacing w:lineRule="auto" w:line="240" w:before="0" w:after="0"/>
        <w:ind w:left="0" w:right="0" w:firstLine="567"/>
        <w:jc w:val="both"/>
        <w:rPr>
          <w:rFonts w:ascii="Times New Roman" w:hAnsi="Times New Roman" w:eastAsia="Calibri" w:cs="Times New Roman"/>
          <w:b/>
          <w:b/>
          <w:sz w:val="28"/>
          <w:szCs w:val="28"/>
        </w:rPr>
      </w:pPr>
      <w:r>
        <w:rPr>
          <w:rFonts w:eastAsia="Calibri" w:cs="Times New Roman" w:ascii="Times New Roman" w:hAnsi="Times New Roman"/>
          <w:sz w:val="28"/>
          <w:szCs w:val="28"/>
        </w:rPr>
        <w:t>- в сфере социальной защиты населения (социальное направление) –</w:t>
      </w:r>
      <w:r>
        <w:rPr>
          <w:rFonts w:eastAsia="Calibri" w:cs="Times New Roman" w:ascii="Times New Roman" w:hAnsi="Times New Roman"/>
          <w:b/>
          <w:sz w:val="28"/>
          <w:szCs w:val="28"/>
        </w:rPr>
        <w:t>74 чел.;</w:t>
      </w:r>
    </w:p>
    <w:p>
      <w:pPr>
        <w:pStyle w:val="Normal"/>
        <w:widowControl/>
        <w:bidi w:val="0"/>
        <w:spacing w:lineRule="auto" w:line="240" w:before="0" w:after="0"/>
        <w:ind w:left="0" w:right="0" w:firstLine="567"/>
        <w:jc w:val="both"/>
        <w:rPr>
          <w:rFonts w:ascii="Times New Roman" w:hAnsi="Times New Roman" w:eastAsia="Calibri" w:cs="Times New Roman"/>
          <w:b/>
          <w:b/>
          <w:sz w:val="28"/>
          <w:szCs w:val="28"/>
        </w:rPr>
      </w:pPr>
      <w:r>
        <w:rPr>
          <w:rFonts w:eastAsia="Calibri" w:cs="Times New Roman" w:ascii="Times New Roman" w:hAnsi="Times New Roman"/>
          <w:sz w:val="28"/>
          <w:szCs w:val="28"/>
        </w:rPr>
        <w:t>Студентов, вовлеченных в добровольческую деятельность:</w:t>
      </w:r>
    </w:p>
    <w:p>
      <w:pPr>
        <w:pStyle w:val="Normal"/>
        <w:widowControl/>
        <w:bidi w:val="0"/>
        <w:spacing w:lineRule="auto" w:line="240" w:before="0" w:after="0"/>
        <w:ind w:left="0" w:right="0" w:firstLine="567"/>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Ямальский полярный агроэкономический техникум –</w:t>
      </w:r>
      <w:r>
        <w:rPr>
          <w:rFonts w:eastAsia="Calibri" w:cs="Times New Roman" w:ascii="Times New Roman" w:hAnsi="Times New Roman"/>
          <w:b/>
          <w:sz w:val="28"/>
          <w:szCs w:val="28"/>
        </w:rPr>
        <w:t xml:space="preserve"> 367 чел.;</w:t>
      </w:r>
    </w:p>
    <w:p>
      <w:pPr>
        <w:pStyle w:val="Normal"/>
        <w:widowControl/>
        <w:bidi w:val="0"/>
        <w:spacing w:lineRule="auto" w:line="240" w:before="0" w:after="0"/>
        <w:ind w:left="0" w:right="0" w:firstLine="567"/>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Ямальский многопрофильный колледж</w:t>
      </w:r>
      <w:r>
        <w:rPr>
          <w:rFonts w:eastAsia="Calibri" w:cs="Times New Roman" w:ascii="Times New Roman" w:hAnsi="Times New Roman"/>
          <w:b/>
          <w:sz w:val="28"/>
          <w:szCs w:val="28"/>
        </w:rPr>
        <w:t xml:space="preserve"> – 258 чел.</w:t>
      </w:r>
    </w:p>
    <w:p>
      <w:pPr>
        <w:pStyle w:val="Normal"/>
        <w:widowControl/>
        <w:bidi w:val="0"/>
        <w:spacing w:lineRule="auto" w:line="240" w:before="0" w:after="0"/>
        <w:ind w:left="0" w:right="0" w:firstLine="567"/>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Итого вовлеченных в добровольческую деятельность – </w:t>
      </w:r>
      <w:r>
        <w:rPr>
          <w:rFonts w:eastAsia="Calibri" w:cs="Times New Roman" w:ascii="Times New Roman" w:hAnsi="Times New Roman"/>
          <w:b/>
          <w:sz w:val="28"/>
          <w:szCs w:val="28"/>
        </w:rPr>
        <w:t xml:space="preserve">9918 чел. (19,3%). </w:t>
      </w:r>
      <w:r>
        <w:rPr>
          <w:rFonts w:eastAsia="Calibri" w:cs="Times New Roman" w:ascii="Times New Roman" w:hAnsi="Times New Roman"/>
          <w:sz w:val="28"/>
          <w:szCs w:val="28"/>
        </w:rPr>
        <w:t xml:space="preserve">Общее количество жителей города Салехарда составляет – </w:t>
      </w:r>
      <w:r>
        <w:rPr>
          <w:rFonts w:eastAsia="Calibri" w:cs="Times New Roman" w:ascii="Times New Roman" w:hAnsi="Times New Roman"/>
          <w:b/>
          <w:sz w:val="28"/>
          <w:szCs w:val="28"/>
        </w:rPr>
        <w:t>51 263</w:t>
      </w:r>
      <w:r>
        <w:rPr>
          <w:rFonts w:eastAsia="Calibri" w:cs="Times New Roman" w:ascii="Times New Roman" w:hAnsi="Times New Roman"/>
          <w:sz w:val="28"/>
          <w:szCs w:val="28"/>
        </w:rPr>
        <w:t xml:space="preserve"> чел.</w:t>
      </w:r>
    </w:p>
    <w:p>
      <w:pPr>
        <w:pStyle w:val="Normal"/>
        <w:widowControl/>
        <w:bidi w:val="0"/>
        <w:spacing w:lineRule="auto" w:line="240" w:before="0" w:after="0"/>
        <w:ind w:left="0" w:right="0"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Численность молодёжи, задействованной в мероприятиях по вовлечению в творческую деятельность (конкурсы, смотры, фестивали по развитию творческих навыков):</w:t>
      </w:r>
    </w:p>
    <w:p>
      <w:pPr>
        <w:pStyle w:val="Normal"/>
        <w:widowControl/>
        <w:bidi w:val="0"/>
        <w:spacing w:lineRule="auto" w:line="240" w:before="0" w:after="0"/>
        <w:ind w:left="0" w:right="0"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 управление культуры и молодёжной политики, с участием подведомственных учреждений – </w:t>
      </w:r>
      <w:r>
        <w:rPr>
          <w:rFonts w:eastAsia="Calibri" w:cs="Times New Roman" w:ascii="Times New Roman" w:hAnsi="Times New Roman"/>
          <w:b/>
          <w:color w:val="000000"/>
          <w:sz w:val="28"/>
          <w:szCs w:val="28"/>
        </w:rPr>
        <w:t>2495 чел</w:t>
      </w:r>
      <w:r>
        <w:rPr>
          <w:rFonts w:eastAsia="Calibri" w:cs="Times New Roman" w:ascii="Times New Roman" w:hAnsi="Times New Roman"/>
          <w:color w:val="000000"/>
          <w:sz w:val="28"/>
          <w:szCs w:val="28"/>
        </w:rPr>
        <w:t>.</w:t>
      </w:r>
    </w:p>
    <w:p>
      <w:pPr>
        <w:pStyle w:val="Normal"/>
        <w:widowControl/>
        <w:bidi w:val="0"/>
        <w:spacing w:lineRule="auto" w:line="240" w:before="0" w:after="0"/>
        <w:ind w:left="0" w:right="0" w:firstLine="567"/>
        <w:jc w:val="both"/>
        <w:rPr>
          <w:rFonts w:ascii="Times New Roman" w:hAnsi="Times New Roman" w:eastAsia="Calibri" w:cs="Times New Roman"/>
          <w:b/>
          <w:b/>
          <w:color w:val="000000"/>
          <w:sz w:val="28"/>
          <w:szCs w:val="28"/>
        </w:rPr>
      </w:pPr>
      <w:r>
        <w:rPr>
          <w:rFonts w:eastAsia="Calibri" w:cs="Times New Roman" w:ascii="Times New Roman" w:hAnsi="Times New Roman"/>
          <w:color w:val="000000"/>
          <w:sz w:val="28"/>
          <w:szCs w:val="28"/>
        </w:rPr>
        <w:t xml:space="preserve">- образовательные организации общего образования – </w:t>
      </w:r>
      <w:r>
        <w:rPr>
          <w:rFonts w:eastAsia="Calibri" w:cs="Times New Roman" w:ascii="Times New Roman" w:hAnsi="Times New Roman"/>
          <w:b/>
          <w:color w:val="000000"/>
          <w:sz w:val="28"/>
          <w:szCs w:val="28"/>
        </w:rPr>
        <w:t>1280 чел.</w:t>
      </w:r>
    </w:p>
    <w:p>
      <w:pPr>
        <w:pStyle w:val="Normal"/>
        <w:widowControl/>
        <w:bidi w:val="0"/>
        <w:spacing w:lineRule="auto" w:line="240" w:before="0" w:after="0"/>
        <w:ind w:left="0" w:right="0" w:firstLine="567"/>
        <w:jc w:val="both"/>
        <w:rPr>
          <w:rFonts w:ascii="Times New Roman" w:hAnsi="Times New Roman" w:eastAsia="Calibri" w:cs="Times New Roman"/>
          <w:b/>
          <w:b/>
          <w:color w:val="000000"/>
          <w:sz w:val="28"/>
          <w:szCs w:val="28"/>
        </w:rPr>
      </w:pPr>
      <w:r>
        <w:rPr>
          <w:rFonts w:eastAsia="Calibri" w:cs="Times New Roman" w:ascii="Times New Roman" w:hAnsi="Times New Roman"/>
          <w:color w:val="000000"/>
          <w:sz w:val="28"/>
          <w:szCs w:val="28"/>
        </w:rPr>
        <w:t xml:space="preserve">- студенты (ЯМК - 346, ЯПАТ - 137)– </w:t>
      </w:r>
      <w:r>
        <w:rPr>
          <w:rFonts w:eastAsia="Calibri" w:cs="Times New Roman" w:ascii="Times New Roman" w:hAnsi="Times New Roman"/>
          <w:b/>
          <w:color w:val="000000"/>
          <w:sz w:val="28"/>
          <w:szCs w:val="28"/>
        </w:rPr>
        <w:t>483 чел.</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color w:val="000000"/>
          <w:sz w:val="28"/>
          <w:szCs w:val="28"/>
        </w:rPr>
        <w:t xml:space="preserve">- участники от города Салехарда тематических смен </w:t>
      </w:r>
      <w:r>
        <w:rPr>
          <w:rFonts w:eastAsia="Calibri" w:cs="Times New Roman" w:ascii="Times New Roman" w:hAnsi="Times New Roman"/>
          <w:sz w:val="28"/>
          <w:szCs w:val="28"/>
        </w:rPr>
        <w:t xml:space="preserve">Форума молодых деятелей культуры и искусств «Таврида»– </w:t>
      </w:r>
      <w:r>
        <w:rPr>
          <w:rFonts w:eastAsia="Calibri" w:cs="Times New Roman" w:ascii="Times New Roman" w:hAnsi="Times New Roman"/>
          <w:b/>
          <w:sz w:val="28"/>
          <w:szCs w:val="28"/>
        </w:rPr>
        <w:t>3 чел.</w:t>
      </w:r>
      <w:r>
        <w:rPr>
          <w:rFonts w:eastAsia="Calibri" w:cs="Times New Roman" w:ascii="Times New Roman" w:hAnsi="Times New Roman"/>
          <w:sz w:val="28"/>
          <w:szCs w:val="28"/>
        </w:rPr>
        <w:t xml:space="preserve"> </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организация каникулярной школы в период осенних каникул «Новые Робинзоны» в онлайн формате 1940 просмотров задействованных </w:t>
      </w:r>
      <w:r>
        <w:rPr>
          <w:rFonts w:eastAsia="Calibri" w:cs="Times New Roman" w:ascii="Times New Roman" w:hAnsi="Times New Roman"/>
          <w:b/>
          <w:sz w:val="28"/>
          <w:szCs w:val="28"/>
        </w:rPr>
        <w:t>7 чел.</w:t>
      </w:r>
    </w:p>
    <w:p>
      <w:pPr>
        <w:pStyle w:val="Style81"/>
        <w:widowControl/>
        <w:bidi w:val="0"/>
        <w:spacing w:lineRule="auto" w:line="240"/>
        <w:ind w:left="0" w:right="0" w:firstLine="567"/>
        <w:jc w:val="both"/>
        <w:rPr>
          <w:rStyle w:val="FontStyle14"/>
          <w:i w:val="false"/>
          <w:i w:val="false"/>
          <w:spacing w:val="0"/>
          <w:sz w:val="28"/>
          <w:szCs w:val="28"/>
        </w:rPr>
      </w:pPr>
      <w:r>
        <w:rPr>
          <w:rStyle w:val="FontStyle14"/>
          <w:i w:val="false"/>
          <w:spacing w:val="0"/>
          <w:sz w:val="28"/>
          <w:szCs w:val="28"/>
        </w:rPr>
        <w:t>Какие наиболее трудные проблемы не удалось решить в прошедшем году.</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Основными проблемными факторами в сфере реализации основных направлений работы с молодёжью для учреждения является:</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отсутствие квалифицированных специалистов по работе с молодёжью в учреждении;</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недостаточное финансирование мероприятий;</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слабое развитие платных услуг в учреждении;</w:t>
      </w:r>
    </w:p>
    <w:p>
      <w:pPr>
        <w:pStyle w:val="Normal"/>
        <w:widowControl/>
        <w:bidi w:val="0"/>
        <w:spacing w:lineRule="auto" w:line="240" w:before="0" w:after="0"/>
        <w:ind w:left="0" w:right="0" w:firstLine="567"/>
        <w:jc w:val="both"/>
        <w:rPr>
          <w:rFonts w:ascii="Times New Roman" w:hAnsi="Times New Roman" w:eastAsia="Calibri" w:cs="Times New Roman"/>
          <w:b/>
          <w:b/>
          <w:sz w:val="28"/>
          <w:szCs w:val="28"/>
        </w:rPr>
      </w:pPr>
      <w:r>
        <w:rPr>
          <w:rFonts w:eastAsia="Calibri" w:cs="Times New Roman" w:ascii="Times New Roman" w:hAnsi="Times New Roman"/>
          <w:sz w:val="28"/>
          <w:szCs w:val="28"/>
        </w:rPr>
        <w:t>- недостаточно оснащенная материально-техническая база учреждения</w:t>
      </w:r>
      <w:r>
        <w:rPr>
          <w:rFonts w:eastAsia="Calibri" w:cs="Times New Roman" w:ascii="Times New Roman" w:hAnsi="Times New Roman"/>
          <w:b/>
          <w:sz w:val="28"/>
          <w:szCs w:val="28"/>
        </w:rPr>
        <w:t>;</w:t>
      </w:r>
    </w:p>
    <w:p>
      <w:pPr>
        <w:pStyle w:val="Normal"/>
        <w:widowControl/>
        <w:bidi w:val="0"/>
        <w:spacing w:lineRule="auto" w:line="24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трудоустройство молодежи в летний период.</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b/>
          <w:sz w:val="28"/>
          <w:szCs w:val="28"/>
        </w:rPr>
        <w:t>Перспектива на 2021 год:</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создание новых экскурсионных, интерактивных туров;</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bCs/>
          <w:sz w:val="28"/>
          <w:szCs w:val="28"/>
        </w:rPr>
        <w:t>- создание новых мини-маршрутов, туров для семейного досуга, организация новых событийных мероприятий.</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разработка концепции информационной точки ТИЦ в аэропорту г. Салехарда, реализация проекта;</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разработка усовершенствование карты города Салехарда.</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 разработка карманных календарей, флаеров, брошюр, буклетов с размещением на них </w:t>
      </w:r>
      <w:r>
        <w:rPr>
          <w:rFonts w:cs="Times New Roman" w:ascii="Times New Roman" w:hAnsi="Times New Roman"/>
          <w:sz w:val="28"/>
          <w:szCs w:val="28"/>
          <w:lang w:val="en-US"/>
        </w:rPr>
        <w:t>QR</w:t>
      </w:r>
      <w:r>
        <w:rPr>
          <w:rFonts w:cs="Times New Roman" w:ascii="Times New Roman" w:hAnsi="Times New Roman"/>
          <w:sz w:val="28"/>
          <w:szCs w:val="28"/>
        </w:rPr>
        <w:t>-кодов;</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для популяризации туристического потенциала в городе планируется запуск роликов в общественном транспорте на разных маршрутах, коллективных средствах размещения;</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 реализация квот мест в оздоровительных организациях за пределы ЯНАО на отдых и оздоровление в оздоровительные организации за пределы округа, в том числе по направлениям (Краснодарский край, Республика Крым, г. Тюмень, возможно новые направления). </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Предложения (с учётом снятия ограничений, связанных с введением режима повышенной готовности на территории города): </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учитывая, что значимым и приоритетным направлением в период трудовой кампании является благоустройство города, уборка территорий, увеличить количество временных рабочих мест для трудоустройства несовершеннолетних граждан в 2021 году;</w:t>
      </w:r>
    </w:p>
    <w:p>
      <w:pPr>
        <w:pStyle w:val="Normal"/>
        <w:widowControl/>
        <w:tabs>
          <w:tab w:val="left" w:pos="851" w:leader="none"/>
          <w:tab w:val="left" w:pos="993" w:leader="none"/>
        </w:tabs>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продолжить практику создания профильных отрядов «Отряд по благоустройству города», организацию профориетационной работы, а также экскурсий на предприятия, в учреждения города в 2021 году;</w:t>
      </w:r>
    </w:p>
    <w:p>
      <w:pPr>
        <w:pStyle w:val="Normal"/>
        <w:widowControl/>
        <w:tabs>
          <w:tab w:val="left" w:pos="851" w:leader="none"/>
          <w:tab w:val="left" w:pos="993" w:leader="none"/>
        </w:tabs>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обеспечить на постоянной основе обновление раздела ТИЦ на сайте учреждения с целью информирования гостей и жителей города о туристической инфраструктуре на территории города (перечень туристических фирм, коллективных средств размещения, объектов общественного питания и др. информация);</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продолжить организацию создания туристических маршрутов.</w:t>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 разработка мультимедийных киосков с размещением следующей информации: карта города, достопримечательности, транспортная инфраструктура, отели, торговые центры, рестораны и пр., с установкой на улицах и местах скопления народа (при наличии финансирования). </w:t>
      </w:r>
    </w:p>
    <w:p>
      <w:pPr>
        <w:pStyle w:val="Normal"/>
        <w:widowControl/>
        <w:bidi w:val="0"/>
        <w:spacing w:lineRule="auto" w:line="240" w:before="0" w:after="0"/>
        <w:ind w:left="0" w:right="0" w:firstLine="567"/>
        <w:jc w:val="both"/>
        <w:rPr/>
      </w:pPr>
      <w:r>
        <w:rPr>
          <w:rFonts w:cs="Times New Roman" w:ascii="Times New Roman" w:hAnsi="Times New Roman"/>
          <w:sz w:val="28"/>
          <w:szCs w:val="28"/>
        </w:rPr>
        <w:t>- разработка приложения для операционных системы IOS и Android путеводитель по городу, с помощью которого турист сможет найти любую информацию о городской инфраструктуре.</w:t>
      </w:r>
    </w:p>
    <w:sectPr>
      <w:type w:val="nextPage"/>
      <w:pgSz w:w="11906" w:h="16838"/>
      <w:pgMar w:left="567" w:right="567" w:header="0" w:top="567" w:footer="0" w:bottom="567"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11" w:customStyle="1">
    <w:name w:val="Font Style11"/>
    <w:basedOn w:val="DefaultParagraphFont"/>
    <w:uiPriority w:val="99"/>
    <w:qFormat/>
    <w:rsid w:val="00d80f9a"/>
    <w:rPr>
      <w:rFonts w:ascii="Times New Roman" w:hAnsi="Times New Roman" w:cs="Times New Roman"/>
      <w:b/>
      <w:bCs/>
      <w:color w:val="000000"/>
      <w:spacing w:val="10"/>
      <w:sz w:val="24"/>
      <w:szCs w:val="24"/>
    </w:rPr>
  </w:style>
  <w:style w:type="character" w:styleId="FontStyle12" w:customStyle="1">
    <w:name w:val="Font Style12"/>
    <w:basedOn w:val="DefaultParagraphFont"/>
    <w:uiPriority w:val="99"/>
    <w:qFormat/>
    <w:rsid w:val="00d80f9a"/>
    <w:rPr>
      <w:rFonts w:ascii="Times New Roman" w:hAnsi="Times New Roman" w:cs="Times New Roman"/>
      <w:color w:val="000000"/>
      <w:sz w:val="20"/>
      <w:szCs w:val="20"/>
    </w:rPr>
  </w:style>
  <w:style w:type="character" w:styleId="FontStyle14" w:customStyle="1">
    <w:name w:val="Font Style14"/>
    <w:basedOn w:val="DefaultParagraphFont"/>
    <w:uiPriority w:val="99"/>
    <w:qFormat/>
    <w:rsid w:val="00d80f9a"/>
    <w:rPr>
      <w:rFonts w:ascii="Times New Roman" w:hAnsi="Times New Roman" w:cs="Times New Roman"/>
      <w:b/>
      <w:bCs/>
      <w:i/>
      <w:iCs/>
      <w:color w:val="000000"/>
      <w:spacing w:val="10"/>
      <w:sz w:val="20"/>
      <w:szCs w:val="20"/>
    </w:rPr>
  </w:style>
  <w:style w:type="character" w:styleId="FontStyle25" w:customStyle="1">
    <w:name w:val="Font Style25"/>
    <w:basedOn w:val="DefaultParagraphFont"/>
    <w:uiPriority w:val="99"/>
    <w:qFormat/>
    <w:rsid w:val="001d4672"/>
    <w:rPr>
      <w:rFonts w:ascii="Times New Roman" w:hAnsi="Times New Roman" w:cs="Times New Roman"/>
      <w:color w:val="000000"/>
      <w:spacing w:val="10"/>
      <w:sz w:val="20"/>
      <w:szCs w:val="20"/>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PT Astra Serif" w:cs="PT Astra Serif"/>
      <w:sz w:val="28"/>
      <w:szCs w:val="28"/>
    </w:rPr>
  </w:style>
  <w:style w:type="character" w:styleId="ListLabel6">
    <w:name w:val="ListLabel 6"/>
    <w:qFormat/>
    <w:rPr>
      <w:i w:val="false"/>
    </w:rPr>
  </w:style>
  <w:style w:type="character" w:styleId="ListLabel7">
    <w:name w:val="ListLabel 7"/>
    <w:qFormat/>
    <w:rPr>
      <w:b w:val="false"/>
      <w:i w:val="false"/>
      <w:sz w:val="28"/>
      <w:szCs w:val="28"/>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customStyle="1">
    <w:name w:val="Style1"/>
    <w:basedOn w:val="Normal"/>
    <w:uiPriority w:val="99"/>
    <w:qFormat/>
    <w:rsid w:val="00d80f9a"/>
    <w:pPr>
      <w:widowControl w:val="false"/>
      <w:spacing w:lineRule="auto" w:line="240" w:before="0" w:after="0"/>
    </w:pPr>
    <w:rPr>
      <w:rFonts w:ascii="Times New Roman" w:hAnsi="Times New Roman" w:eastAsia="" w:cs="Times New Roman" w:eastAsiaTheme="minorEastAsia"/>
      <w:sz w:val="24"/>
      <w:szCs w:val="24"/>
      <w:lang w:eastAsia="ru-RU"/>
    </w:rPr>
  </w:style>
  <w:style w:type="paragraph" w:styleId="Style21" w:customStyle="1">
    <w:name w:val="Style2"/>
    <w:basedOn w:val="Normal"/>
    <w:uiPriority w:val="99"/>
    <w:qFormat/>
    <w:rsid w:val="00d80f9a"/>
    <w:pPr>
      <w:widowControl w:val="false"/>
      <w:spacing w:lineRule="auto" w:line="240" w:before="0" w:after="0"/>
    </w:pPr>
    <w:rPr>
      <w:rFonts w:ascii="Times New Roman" w:hAnsi="Times New Roman" w:eastAsia="" w:cs="Times New Roman" w:eastAsiaTheme="minorEastAsia"/>
      <w:sz w:val="24"/>
      <w:szCs w:val="24"/>
      <w:lang w:eastAsia="ru-RU"/>
    </w:rPr>
  </w:style>
  <w:style w:type="paragraph" w:styleId="Style31" w:customStyle="1">
    <w:name w:val="Style3"/>
    <w:basedOn w:val="Normal"/>
    <w:uiPriority w:val="99"/>
    <w:qFormat/>
    <w:rsid w:val="00d80f9a"/>
    <w:pPr>
      <w:widowControl w:val="false"/>
      <w:spacing w:lineRule="auto" w:line="240" w:before="0" w:after="0"/>
    </w:pPr>
    <w:rPr>
      <w:rFonts w:ascii="Times New Roman" w:hAnsi="Times New Roman" w:eastAsia="" w:cs="Times New Roman" w:eastAsiaTheme="minorEastAsia"/>
      <w:sz w:val="24"/>
      <w:szCs w:val="24"/>
      <w:lang w:eastAsia="ru-RU"/>
    </w:rPr>
  </w:style>
  <w:style w:type="paragraph" w:styleId="Style41" w:customStyle="1">
    <w:name w:val="Style4"/>
    <w:basedOn w:val="Normal"/>
    <w:uiPriority w:val="99"/>
    <w:qFormat/>
    <w:rsid w:val="00d80f9a"/>
    <w:pPr>
      <w:widowControl w:val="false"/>
      <w:spacing w:lineRule="auto" w:line="240" w:before="0" w:after="0"/>
    </w:pPr>
    <w:rPr>
      <w:rFonts w:ascii="Times New Roman" w:hAnsi="Times New Roman" w:eastAsia="" w:cs="Times New Roman" w:eastAsiaTheme="minorEastAsia"/>
      <w:sz w:val="24"/>
      <w:szCs w:val="24"/>
      <w:lang w:eastAsia="ru-RU"/>
    </w:rPr>
  </w:style>
  <w:style w:type="paragraph" w:styleId="Style71" w:customStyle="1">
    <w:name w:val="Style7"/>
    <w:basedOn w:val="Normal"/>
    <w:uiPriority w:val="99"/>
    <w:qFormat/>
    <w:rsid w:val="00d80f9a"/>
    <w:pPr>
      <w:widowControl w:val="false"/>
      <w:spacing w:lineRule="auto" w:line="240" w:before="0" w:after="0"/>
    </w:pPr>
    <w:rPr>
      <w:rFonts w:ascii="Times New Roman" w:hAnsi="Times New Roman" w:eastAsia="" w:cs="Times New Roman" w:eastAsiaTheme="minorEastAsia"/>
      <w:sz w:val="24"/>
      <w:szCs w:val="24"/>
      <w:lang w:eastAsia="ru-RU"/>
    </w:rPr>
  </w:style>
  <w:style w:type="paragraph" w:styleId="Style81" w:customStyle="1">
    <w:name w:val="Style8"/>
    <w:basedOn w:val="Normal"/>
    <w:uiPriority w:val="99"/>
    <w:qFormat/>
    <w:rsid w:val="00d80f9a"/>
    <w:pPr>
      <w:widowControl w:val="false"/>
      <w:spacing w:lineRule="auto" w:line="240" w:before="0" w:after="0"/>
    </w:pPr>
    <w:rPr>
      <w:rFonts w:ascii="Times New Roman" w:hAnsi="Times New Roman" w:eastAsia="" w:cs="Times New Roman" w:eastAsiaTheme="minorEastAsia"/>
      <w:sz w:val="24"/>
      <w:szCs w:val="24"/>
      <w:lang w:eastAsia="ru-RU"/>
    </w:rPr>
  </w:style>
  <w:style w:type="paragraph" w:styleId="Style91" w:customStyle="1">
    <w:name w:val="Style9"/>
    <w:basedOn w:val="Normal"/>
    <w:uiPriority w:val="99"/>
    <w:qFormat/>
    <w:rsid w:val="00d80f9a"/>
    <w:pPr>
      <w:widowControl w:val="false"/>
      <w:spacing w:lineRule="auto" w:line="240" w:before="0" w:after="0"/>
    </w:pPr>
    <w:rPr>
      <w:rFonts w:ascii="Times New Roman" w:hAnsi="Times New Roman" w:eastAsia="" w:cs="Times New Roman" w:eastAsiaTheme="minorEastAsia"/>
      <w:sz w:val="24"/>
      <w:szCs w:val="24"/>
      <w:lang w:eastAsia="ru-RU"/>
    </w:rPr>
  </w:style>
  <w:style w:type="paragraph" w:styleId="NormalWeb">
    <w:name w:val="Normal (Web)"/>
    <w:basedOn w:val="Normal"/>
    <w:uiPriority w:val="99"/>
    <w:semiHidden/>
    <w:unhideWhenUsed/>
    <w:qFormat/>
    <w:rsid w:val="00741f93"/>
    <w:pPr>
      <w:spacing w:lineRule="auto" w:line="240" w:beforeAutospacing="1" w:afterAutospacing="1"/>
    </w:pPr>
    <w:rPr>
      <w:rFonts w:ascii="Times New Roman" w:hAnsi="Times New Roman" w:eastAsia="Times New Roman" w:cs="Times New Roman"/>
      <w:sz w:val="24"/>
      <w:szCs w:val="24"/>
      <w:lang w:eastAsia="ru-RU"/>
    </w:rPr>
  </w:style>
  <w:style w:type="paragraph" w:styleId="1" w:customStyle="1">
    <w:name w:val="Обычный1"/>
    <w:uiPriority w:val="99"/>
    <w:qFormat/>
    <w:rsid w:val="00683345"/>
    <w:pPr>
      <w:widowControl/>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ListParagraph">
    <w:name w:val="List Paragraph"/>
    <w:basedOn w:val="Normal"/>
    <w:uiPriority w:val="34"/>
    <w:qFormat/>
    <w:rsid w:val="004a4a16"/>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LibreOffice/6.0.7.3$Linux_X86_64 LibreOffice_project/00m0$Build-3</Application>
  <Pages>7</Pages>
  <Words>2335</Words>
  <Characters>16218</Characters>
  <CharactersWithSpaces>18451</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2021-03-01T03:49:00Z</dcterms:created>
  <dc:creator>Тогачев</dc:creator>
  <dc:description/>
  <dc:language>ru-RU</dc:language>
  <cp:lastModifiedBy/>
  <dcterms:modified xsi:type="dcterms:W3CDTF">2021-03-16T18:38:22Z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