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0E" w:rsidRPr="00575B0E" w:rsidRDefault="00575B0E" w:rsidP="00575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910F32" wp14:editId="13888945">
            <wp:extent cx="1095375" cy="809625"/>
            <wp:effectExtent l="0" t="0" r="9525" b="9525"/>
            <wp:docPr id="2" name="bxid_564170" descr="http://www.asdg.ru/imag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564170" descr="http://www.asdg.ru/images/image0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0E" w:rsidRPr="00575B0E" w:rsidRDefault="00575B0E" w:rsidP="00AC7C95">
      <w:pPr>
        <w:spacing w:before="100" w:beforeAutospacing="1" w:after="100" w:afterAutospacing="1" w:line="240" w:lineRule="auto"/>
        <w:ind w:left="-142"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АССОЦИАЦИЯ   СИБИРСКИХ   И   ДАЛЬНЕВОСТОЧНЫХ   ГОРОДОВ</w:t>
      </w:r>
    </w:p>
    <w:p w:rsidR="00575B0E" w:rsidRPr="00575B0E" w:rsidRDefault="00575B0E" w:rsidP="00575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00E168" wp14:editId="1EDEFC9A">
                <wp:extent cx="7248525" cy="47625"/>
                <wp:effectExtent l="0" t="0" r="0" b="0"/>
                <wp:docPr id="1" name="bxid_228683" descr="http://www.asdg.ru/bitrix/admin/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485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67F96" id="bxid_228683" o:spid="_x0000_s1026" alt="http://www.asdg.ru/bitrix/admin/image003.gif" style="width:570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575B0E" w:rsidRPr="00575B0E" w:rsidRDefault="00575B0E" w:rsidP="0057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0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75B0E" w:rsidRPr="00575B0E" w:rsidRDefault="00575B0E" w:rsidP="00575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0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М А Т Е Р И А Л Ы </w:t>
      </w:r>
    </w:p>
    <w:p w:rsidR="00575B0E" w:rsidRPr="00575B0E" w:rsidRDefault="00575B0E" w:rsidP="00575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B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Форума глав муниципальных образований</w:t>
      </w:r>
      <w:r w:rsidRPr="00575B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75B0E" w:rsidRPr="00575B0E" w:rsidRDefault="00575B0E" w:rsidP="00575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0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Сибири и Дальнего Востока</w:t>
      </w:r>
    </w:p>
    <w:p w:rsidR="00575B0E" w:rsidRPr="00575B0E" w:rsidRDefault="00575B0E" w:rsidP="00575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24-25 мая 2007 г., Новосибирск</w:t>
      </w:r>
    </w:p>
    <w:p w:rsidR="00575B0E" w:rsidRPr="00575B0E" w:rsidRDefault="00575B0E" w:rsidP="00575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0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Анализ бюджетов муниципальных образований </w:t>
      </w:r>
      <w:r w:rsidRPr="00575B0E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Сибири и Дальнего Востока</w:t>
      </w:r>
      <w:r w:rsidRPr="00575B0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Pr="00575B0E">
        <w:rPr>
          <w:rFonts w:ascii="Times New Roman" w:eastAsia="Times New Roman" w:hAnsi="Times New Roman" w:cs="Times New Roman"/>
          <w:sz w:val="44"/>
          <w:szCs w:val="44"/>
          <w:lang w:eastAsia="ru-RU"/>
        </w:rPr>
        <w:t>за 2006-2007 гг.</w:t>
      </w:r>
    </w:p>
    <w:p w:rsidR="00575B0E" w:rsidRPr="00575B0E" w:rsidRDefault="00575B0E" w:rsidP="0057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75B0E" w:rsidRPr="00575B0E" w:rsidRDefault="00575B0E" w:rsidP="00AC7C9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1 группа муниципальных образований (14 городов)</w:t>
      </w:r>
    </w:p>
    <w:p w:rsidR="00575B0E" w:rsidRPr="00575B0E" w:rsidRDefault="00575B0E" w:rsidP="00AC7C95">
      <w:pPr>
        <w:spacing w:before="100" w:beforeAutospacing="1" w:after="100" w:afterAutospacing="1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Доходы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двум городам нет данных за 2006 или 2007 год.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общей суммы доходов бюджета произошло в 6 городах. Наиболее значительный рост произошел в городах: Обь – на 57,8% и Дудинка – на 36,3%. В 6 городах произошло снижение доходов, в том числе: в Бодайбо - на 27,5%, в Полысаево - на 18,8%, в Зиме - на 1,4%, в Кяхте - на 16,9%, в Туруханске - на 18,9%, в Ванино - на 19,5%.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собственных доходов в общей сумме доходов значительно отличается для разных городов. Так, наибольший удельный вес собственных доходов в 2007 году запланирован в г. Кяхта – 72,1%, г. Бодайбо – 56,1%, г. Стрежевой – 50,7%. Наименьшее значение данного показателя в следующих городах: Туруханск – 14,9%, Шарыпово – 20,4%, Дудинка – 25,4%, Енисейск – 26,5%. В остальных городах значение данного показателя колеблется от 32% до 46%.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2007 году доля налога на доходы физических лиц в общей сумме доходов имеет максимальное значение в г. Кяхта – 67,3%, минимальное – в г. Туруханск – 7% и г. Шарыпово – 8%. Налог на прибыль поступает только в бюджеты 3 городов, при этом его доля в общей сумме доходов не превышает 1%. Налог н имущество организаций вообще не поступает в бюджеты данных городов.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поступлений от бюджетов других уровней в общей сумме доходов бюджетов в 2007 году наибольшее значение имеет у таких городов, как: Туруханск – 85,1%, Шарыпово- 79,6%, Дудинка – 74,6%. Минимальное значение данного показателя запланировано в Кяхте (27,9%). При этом в Бодайбо планируется снижение доли поступлений от бюджетов других уровней в общей сумме доходов с 79,5% до 43,9% по сравнению с 2006 годом.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2007 году запланировано поступление дотаций в бюджеты 12 городов из 14. Максимальная доля дотаций в общей сумме доходов бюджетов предполагается в таких городах, как: Туруханск – 32,2%, Кяхта – 27,4%. Минимальный уровень поступления дотаций планируется в </w:t>
      </w:r>
      <w:proofErr w:type="spellStart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г.Обь</w:t>
      </w:r>
      <w:proofErr w:type="spellEnd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(6,8%). В остальных городах данный показатель колеблется от 9,6% до 26,6%.</w:t>
      </w:r>
    </w:p>
    <w:p w:rsidR="00575B0E" w:rsidRPr="00575B0E" w:rsidRDefault="00575B0E" w:rsidP="00AC7C95">
      <w:pPr>
        <w:spacing w:before="100" w:beforeAutospacing="1" w:after="100" w:afterAutospacing="1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Расходы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2007 году в шести городах произошло уменьшение общей суммы расходов, в шести – увеличение. Максимальное снижение по сравнению с уровнем 2006 года запланировано в г. Ванино (на 19,3%). Максимальный рост прогнозируется в Оби (на 57,1%) и в Дудинке (на 40,1%).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снижение расходов в Ванино повлекло сокращение расходов на ЖКХ на 176,3 млн. рублей или на 95,1% по сравнению с 2006 годом, на общегосударственные вопросы – на 8,7 млн. рублей или на 10,6%. 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Оби произошло за счет роста расходов на общегосударственные вопросы – на 93,7% (19,4 млн. рублей) по сравнению с уровнем 2006 года, на ЖКХ – на 64,9% (35,8 млн. рублей), на социальную политику – в 5,6 раза (на 48,5 млн. рублей).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Дудинке увеличение общей суммы расходов обусловлено ростом расходов по всем отраслям, наиболее значительный рост запланирован в сфере ЖКХ – на 74,1% (101,7 млн. рублей).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2007 году расходы бюджетов имеют следующую структуру.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имеют расходы на ЖКХ (до 49,4% от общей суммы расходов), на образование (до 55,4% от общей суммы расходов), социальную политику (до 35,9%).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доля расходов на ЖКХ в общей сумме расходов предусмотрена в Дудинке (49,4%) и Кяхте (37,6%), минимальная – в Ванино (1,6%) и </w:t>
      </w:r>
      <w:proofErr w:type="spellStart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Партизанске</w:t>
      </w:r>
      <w:proofErr w:type="spellEnd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(4,3%).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на ЖКХ снизилась в 9 городах, выросла в двух городах, осталась без изменения в г. Туруханск (35%). По Стрежевому и Ялуторовску данных нет.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доля расходов на образование в общей сумме расходов предусмотрена в Ванино (55,4%) и Стрежевом (53,4%), минимальная – в Дудинке (5,3%). В Кяхте на финансирование данной отрасли в 2007 году запланировано 100,0 тыс. рублей (0,4% от общей суммы расходов).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расходов на здравоохранение предполагается в бюджетах г. Зима (20,7%) и Бодайбо (17,8%). Минимальный объем данного показателя запланирован в г. Енисейск (0,6%), Дудинка (1,2%). При этом в 10 городах предусмотрен рост данного показателя по сравнению с 2006 годом.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социальную политику в наибольшем объеме запланированы в Шарыпово (35,9%) и Енисейске (35,5%), наименьшие показатели (до 1% от общей суммы расходов) отмечены в Бодайбо, Дудинке, Зиме, Кяхте.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в 2007 запланировали 13 городов. Наибольшая доля дефицита в собственных доходах отмечена г. Зима (17,7%) и г. Бодайбо (15,7%).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муниципальные образования данной группы находятся в прямой зависимости от решений субъекта Федерации как по формированию доходов, </w:t>
      </w: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и расходов бюджетов. Дефицитность бюджетов свидетельствует, что по расчетам муниципальных образований не хватает средств на реализацию закрепленных за ними полномочий.</w:t>
      </w:r>
    </w:p>
    <w:p w:rsidR="00575B0E" w:rsidRPr="00575B0E" w:rsidRDefault="00575B0E" w:rsidP="00AC7C95">
      <w:pPr>
        <w:spacing w:before="100" w:beforeAutospacing="1" w:after="100" w:afterAutospacing="1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2 группа муниципальных образований (10 городов)</w:t>
      </w:r>
    </w:p>
    <w:p w:rsidR="00575B0E" w:rsidRPr="00575B0E" w:rsidRDefault="00575B0E" w:rsidP="00AC7C95">
      <w:pPr>
        <w:spacing w:before="100" w:beforeAutospacing="1" w:after="100" w:afterAutospacing="1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Доходы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Горно-Алтайску нет данных за 2006 год.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общей суммы доходов бюджета произошло в 4 городах. Наиболее значительный рост произошел в городах: Нижний </w:t>
      </w:r>
      <w:proofErr w:type="spellStart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Илимск</w:t>
      </w:r>
      <w:proofErr w:type="spellEnd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15,8% и </w:t>
      </w:r>
      <w:proofErr w:type="spellStart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</w:t>
      </w:r>
      <w:proofErr w:type="spellEnd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13,5%. В 5 городах произошло снижение доходов, в том числе: в Ишиме на 34,8%, в Биробиджане на 3%, в Таштаголе на 11%, в Черемхово на 5,6%, в Ханты-Мансийске на 20,8%.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собственных доходов в общей сумме доходов значительно отличается для разных городов. Так, наибольший удельный вес собственных доходов в 2007 году запланирован в г. </w:t>
      </w:r>
      <w:proofErr w:type="spellStart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Шелехове</w:t>
      </w:r>
      <w:proofErr w:type="spellEnd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61,8%, г. Усть-Илимске – 60,5%, г. Горно-Алтайске – 60,7%. Наименьшее значение данного показателя прогнозируется в следующих городах: Таштагол – 27,9%, Ханты-Мансийск – 37,3%, Черемхово – 39%. В остальных городах значение данного показателя колеблется от 43,4% (Усолье Сибирское) до 47,9% (Ишим).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2007 году доля налога на доходы физических лиц в общей сумме доходов имеет максимальное значение в Горно-Алтайске – 35,6% и в </w:t>
      </w:r>
      <w:proofErr w:type="spellStart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Шелехове</w:t>
      </w:r>
      <w:proofErr w:type="spellEnd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35,4%, минимальное – Таштаголе – 12,6%. Налог на прибыль поступает только в бюджет Ишима, его доля в общей сумме доходов города составляет 12,9%. Налог н имущество организаций поступает в бюджеты Горно-Алтайска (2,6% от общей суммы доходов), Биробиджана (2,2%).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поступлений от бюджетов других уровней в общей сумме доходов бюджетов в 2007 году наибольшее значение имеет у следующих городов: Таштагол – 72,1%, Ханты-Мансийск – 62,7%, Черемхово – 61%. Минимальное значение данного показателя запланировано в </w:t>
      </w:r>
      <w:proofErr w:type="spellStart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Шелехове</w:t>
      </w:r>
      <w:proofErr w:type="spellEnd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(38,2%). При этом в Ишиме планируется снижение доли поступлений от бюджетов других уровней в общей сумме доходов с 78,1% до 47,9% по сравнению с 2006 годом, в </w:t>
      </w:r>
      <w:proofErr w:type="spellStart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Шелехове</w:t>
      </w:r>
      <w:proofErr w:type="spellEnd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52,4% до 38,2.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2007 году запланировано поступление дотаций в бюджеты 8 городов из 10. Максимальная доля дотаций в общей сумме доходов бюджетов предполагается в таких городах, как: Ханты-Мансийск – 32,3%, Черемхово – 21,9%. Минимальный уровень поступления дотаций планируется в г. Ишим (0,6%). В остальных городах данный показатель колеблется от 2,9% до 16,1%.</w:t>
      </w:r>
    </w:p>
    <w:p w:rsidR="00212429" w:rsidRDefault="00212429" w:rsidP="00575B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5B0E" w:rsidRPr="00575B0E" w:rsidRDefault="00575B0E" w:rsidP="00AC7C95">
      <w:pPr>
        <w:spacing w:before="100" w:beforeAutospacing="1" w:after="100" w:afterAutospacing="1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Расходы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2007 году в четырех городах произошло уменьшение общей суммы расходов, в пяти – увеличение. Максимальное снижение по сравнению с уровнем 2006 года запланировано в г. Ишим (на 27,5%). Максимальный рост прогнозируется в </w:t>
      </w:r>
      <w:proofErr w:type="spellStart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Шелехове</w:t>
      </w:r>
      <w:proofErr w:type="spellEnd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21,5%) и в Усолье Сибирском (на 23,3%).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снижение расходов в Ишиме повлекло сокращение расходов по всем отраслям по сравнению с 2006 годом. Наиболее значительное сокращение касается ЖКХ (93,2 млн. рублей или на 42,7%), здравоохранения (15,2 млн. рублей или на 46,3%). 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расходов в </w:t>
      </w:r>
      <w:proofErr w:type="spellStart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Шелехове</w:t>
      </w:r>
      <w:proofErr w:type="spellEnd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 роста расходов на общегосударственные вопросы – в 2 раза (на 45,6 млн. рублей) по сравнению с уровнем 2006 года, на ЖКХ – 27 раз (на 62,7 млн. рублей), на социальную политику – в 5 раз (на 22 млн. рублей).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Усолье Сибирском увеличение общей суммы расходов обусловлено ростом расходов на общегосударственные вопросы – на 55,3% (26,9 млн. рублей) по сравнению с уровнем 2006 года, на образование – на 19,4% (69 млн. рублей), на здравоохранение – на 19,6% (33 млн. рублей).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2007 году расходы бюджетов имеют следующую структуру.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имеют расходы на образование (до 51,7% от общей суммы расходов), на здравоохранение (до 25,3% от общей суммы расходов), ЖКХ (до 22%).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доля расходов на ЖКХ в общей сумме расходов предусмотрена в Биробиджане (22%) и Нижнем </w:t>
      </w:r>
      <w:proofErr w:type="spellStart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Илимске</w:t>
      </w:r>
      <w:proofErr w:type="spellEnd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(22%), минимальная – в Усть-Илимске (4,5%) и Таштаголе (5,8%). Доля расходов на ЖКХ снизилась в 7 городах, выросла в двух городах.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доля расходов на образование в общей сумме расходов предусмотрена в </w:t>
      </w:r>
      <w:proofErr w:type="spellStart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Шелехове</w:t>
      </w:r>
      <w:proofErr w:type="spellEnd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(51,7%) и Биробиджане (51,2%), минимальная – в Ханты-Мансийске (34,3%). В четырех городах произошло снижение доли данных расходов в общей сумме расходов. Наиболее значительные изменения произошли в </w:t>
      </w:r>
      <w:proofErr w:type="spellStart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Шелехове</w:t>
      </w:r>
      <w:proofErr w:type="spellEnd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(19,2% по сравнению с 2006 годом).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расходов на здравоохранение предполагается в бюджетах г. Черемхово (25,3%) и Усолье Сибирское (23,6%). Минимальный объем данного показателя запланирован в г. Ишим (2,5%). При этом в 6 городах предусмотрен рост данного показателя по сравнению с 2006 годом.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на социальную политику в наибольшем объеме запланированы в Таштаголе (22,2%) и Горно-Алтайске (17,1%), наименьшие показатели отмечены в Нижнем </w:t>
      </w:r>
      <w:proofErr w:type="spellStart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Илимске</w:t>
      </w:r>
      <w:proofErr w:type="spellEnd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(1,6%), Биробиджане (2%).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в 2007 запланировали все города второй группы. Наибольшая доля дефицита в собственных доходах отмечена г. Усть-Илимск (14,5%) и г. Нижний </w:t>
      </w:r>
      <w:proofErr w:type="spellStart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Илимск</w:t>
      </w:r>
      <w:proofErr w:type="spellEnd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(10,1%).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муниципальные образования данной группы находятся в прямой зависимости от решений субъекта Федерации как по формированию доходов, так и расходов бюджетов. Дефицитность бюджетов свидетельствует, что по расчетам муниципальных образований не хватает средств на реализацию закрепленных за ними полномочий.</w:t>
      </w:r>
    </w:p>
    <w:p w:rsidR="00575B0E" w:rsidRPr="00575B0E" w:rsidRDefault="00575B0E" w:rsidP="00AC7C95">
      <w:pPr>
        <w:spacing w:before="100" w:beforeAutospacing="1" w:after="100" w:afterAutospacing="1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3 группа муниципальных образований (9 городов)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Новому Уренгою нет данных за 2006 год.</w:t>
      </w:r>
    </w:p>
    <w:p w:rsidR="00575B0E" w:rsidRPr="00575B0E" w:rsidRDefault="00575B0E" w:rsidP="00AC7C95">
      <w:pPr>
        <w:spacing w:before="100" w:beforeAutospacing="1" w:after="100" w:afterAutospacing="1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575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Доходы</w:t>
      </w:r>
    </w:p>
    <w:p w:rsidR="00575B0E" w:rsidRPr="00575B0E" w:rsidRDefault="00575B0E" w:rsidP="0057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Увеличились общие доходы бюджета в 7 городах, снизились в г. Сургуте (на 5,4%).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рост доходов в Магадане – на 34,4% и Уссурийске – на 21,4%.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Удельный вес собственных доходов в общей сумме доходов (2007 год).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Максимальный: Новый Уренгой – 74,6%, Братск – 74,2%, Комсомольск-на-Амуре – 62,3%.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Минимальный: Рубцовск – 32,4%.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Доля НДФЛ в общих доходах (2007 год).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Максимальная: Новый Уренгой – 46,7%.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Минимальная: Рубцовск – 15,0%. Магадан – 19,7%.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прибыль и налог на имущество организаций поступает только в бюджеты 2 МО (Магадан, Петропавловск-Камчатский).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Доля поступлений от других бюджетов бюджетной системы РФ.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Максимальная: Рубцовск – 67,6%.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Минимальная: Новый Уренгой – 25,4%, Братск – 25,8%, Комсомольск-на-Амуре – 37,7%.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Дотации есть во всех 9 городах данной группы.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доля дотации в общих доходах: Рубцовск – 18,2%, Сургут – 14,3%, Магадан – 10,4%.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Минимальная: Благовещенск – 0,2%, Братск – 3,2%, Комсомольск-на-Амуре – 4,0%, Новый Уренгой – 4,6%.</w:t>
      </w:r>
    </w:p>
    <w:p w:rsidR="00575B0E" w:rsidRPr="00575B0E" w:rsidRDefault="00575B0E" w:rsidP="00212429">
      <w:pPr>
        <w:spacing w:before="100" w:beforeAutospacing="1" w:after="100" w:afterAutospacing="1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Расходы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 всех городах данной группы запланирован рост расходов.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– в Магадане – на 28,5%, в Уссурийске – на 25,2%.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– в Комсомольске-на-Амуре – на 1,4%, в Сургуте – на 2,1%.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значительное сокращение расходов по отрасли «Жилищно-коммунальное хозяйство» в 5 муниципальных образованиях (от 33,7% в Уссурийске до 51,1% в Сургуте).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расходов (2007 год).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расходов: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Жилищно-коммунальное хозяйство.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Максимальная: Магадан – 40,5%, Новый Уренгой – 24,0%, Петропавловск-Камчатский – 22,3%.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Минимальная: Рубцовск – 7,5%, Комсомольск-на-Амуре – 7,9%, Благовещенск – 8,5%, Сургут – 9,1%, Уссурийск – 11,4%.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по данной отрасли снизилась во всех муниципальных образованиях данной группы.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Образование.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Максимальная: Комсомольск-на-Амуре – 48,9%, Братск – 44,3%, Петропавловск-Камчатский – 40,8%.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Минимальная: Новый Уренгой – 26,9%, Благовещенск – 30,0%, Магадан – 30,5%.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Здравоохранение и спорт.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Максимальная: Сургут – 25,9%, Комсомольск-на-Амуре – 24,6%, Братск – 21,2%.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Минимальная: Магадан – 10,8%.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Социальная политика.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Максимальная: Рубцовск – 24,6%, Благовещенск – 21,3%, Уссурийск – 19,8%.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Минимальная: Братск – 0,9%, Магадан и Сургут – 2,9%.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муниципальных образованиях данной группы в 2007 году запланирован дефицит бюджета. </w:t>
      </w:r>
    </w:p>
    <w:p w:rsidR="00575B0E" w:rsidRPr="00575B0E" w:rsidRDefault="00575B0E" w:rsidP="00212429">
      <w:pPr>
        <w:spacing w:before="100" w:beforeAutospacing="1" w:after="100" w:afterAutospacing="1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4 группа муниципальных образований (7 городов)</w:t>
      </w:r>
    </w:p>
    <w:p w:rsidR="00575B0E" w:rsidRPr="00575B0E" w:rsidRDefault="00575B0E" w:rsidP="00212429">
      <w:pPr>
        <w:spacing w:before="100" w:beforeAutospacing="1" w:after="100" w:afterAutospacing="1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Доходы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Увеличились общие доходы бюджета в 6 городах, снизились в г. Хабаровске (на 2,8%).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рост доходов в Новосибирске – на 13,3%, Барнауле – на 11,3% и Иркутске – на 10,4%.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Удельный вес собственных доходов в общей сумме доходов (2007 год).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Максимальный: Иркутск – 78,7%, Хабаровск – 72,6%, Новосибирск – 70,6%.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Минимальный: Красноярск – 56,6%, Барнаул – 57,5%.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Доля НДФЛ в общих доходах (2007 год).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Максимальная: Хабаровск – 40,3%, Иркутск – 36,6%.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Минимальная: Кемерово – 23,6%, Красноярск – 24,0, Новосибирск – 24,4%, Томск – 25,6%, Барнаул – 26,1%.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налога на имущество организаций не запланированы в бюджетах городских округов данной группы, а налога на прибыль - только в г. Красноярске.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Доля поступлений от других бюджетов бюджетной системы РФ (2007 год).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Максимальная: Красноярск – 43,4%, Барнаул – 42,5%.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Минимальная: Иркутск – 21,3%, Хабаровск – 27,4%, Новосибирск – 29,4%.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Дотации в 2007 году запланированы в 6 городах данной группы, за исключением Новосибирска.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доля дотации в общих доходах: Кемерово – 5,7%, Томск – 3,6%.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Минимальная: Красноярск – 0,5%, Хабаровск – 0,9%.</w:t>
      </w:r>
    </w:p>
    <w:p w:rsidR="00575B0E" w:rsidRPr="00575B0E" w:rsidRDefault="00575B0E" w:rsidP="00212429">
      <w:pPr>
        <w:spacing w:before="100" w:beforeAutospacing="1" w:after="100" w:afterAutospacing="1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 всех городах данной группы запланирован рост расходов.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– в Новосибирске – на 25,1%, в Иркутске – на 24,5%, в Барнауле – на 20,9%.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– в Хабаровске – на 2,6%.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 расходы по отрасли «Жилищно-коммунальное хозяйство» в 4 муниципальных образованиях (от 3,8% в Красноярске до 40,9% в Барнауле).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расходов (2007 год).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расходов: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Жилищно-коммунальное хозяйство.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Максимальная: Иркутск – 33,1%, Томск – 25,9%, Красноярск – 24,9%.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Минимальная: Барнаул – 7,7%, Хабаровск – 16,7%.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по данной отрасли снизилась в 4 муниципальных образованиях данной группы.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Образование.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Максимальная: Томск – 38,3%, Хабаровск – 37,8%, Новосибирск – 35,0%.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Минимальная: Красноярск – 28,1%.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Здравоохранение и спорт.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Максимальная: Хабаровск – 21,3%, Новосибирск – 16,4.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Минимальная: Томск – 9,2%, Красноярск – 10,7</w:t>
      </w:r>
      <w:proofErr w:type="gramStart"/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%..</w:t>
      </w:r>
      <w:proofErr w:type="gramEnd"/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Социальная политика.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Максимальная: Красноярск – 20,9%, Барнаул – 19,9%.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Минимальная: Иркутск – 3,8%, Новосибирск – 3,9%.</w:t>
      </w:r>
    </w:p>
    <w:p w:rsidR="00575B0E" w:rsidRPr="00575B0E" w:rsidRDefault="00575B0E" w:rsidP="00575B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муниципальных образованиях данной группы в 2007 году запланирован дефицит бюджета.</w:t>
      </w:r>
    </w:p>
    <w:p w:rsidR="009D6D47" w:rsidRPr="00575B0E" w:rsidRDefault="009D6D47">
      <w:pPr>
        <w:rPr>
          <w:rFonts w:ascii="Times New Roman" w:hAnsi="Times New Roman" w:cs="Times New Roman"/>
          <w:sz w:val="28"/>
          <w:szCs w:val="28"/>
        </w:rPr>
      </w:pPr>
    </w:p>
    <w:sectPr w:rsidR="009D6D47" w:rsidRPr="00575B0E" w:rsidSect="00AC7C9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0E"/>
    <w:rsid w:val="00212429"/>
    <w:rsid w:val="00575B0E"/>
    <w:rsid w:val="009D6D47"/>
    <w:rsid w:val="00A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87DBE-FDBE-48B0-9171-C23F5D46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2016-05-13T15:00:00Z</dcterms:created>
  <dcterms:modified xsi:type="dcterms:W3CDTF">2016-05-13T15:14:00Z</dcterms:modified>
</cp:coreProperties>
</file>